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0842" w14:textId="31F78997" w:rsidR="006F0D75" w:rsidRPr="00C85128" w:rsidRDefault="00C85128" w:rsidP="00A6224C">
      <w:pPr>
        <w:ind w:left="-709" w:right="-705" w:firstLine="284"/>
        <w:jc w:val="center"/>
        <w:rPr>
          <w:rFonts w:ascii="Agency FB" w:hAnsi="Agency FB" w:cstheme="majorBidi"/>
          <w:b/>
          <w:bCs/>
          <w:sz w:val="48"/>
          <w:szCs w:val="48"/>
        </w:rPr>
      </w:pPr>
      <w:r w:rsidRPr="00C85128">
        <w:rPr>
          <w:rFonts w:ascii="Agency FB" w:hAnsi="Agency FB" w:cstheme="majorBidi"/>
          <w:b/>
          <w:bCs/>
          <w:sz w:val="48"/>
          <w:szCs w:val="48"/>
        </w:rPr>
        <w:t>Acute Gingival Infections</w:t>
      </w:r>
    </w:p>
    <w:p w14:paraId="5FCB55C5" w14:textId="42CF37DC" w:rsidR="00C85128" w:rsidRPr="00C85128" w:rsidRDefault="00C85128" w:rsidP="00A6224C">
      <w:pPr>
        <w:tabs>
          <w:tab w:val="right" w:pos="142"/>
        </w:tabs>
        <w:ind w:left="-709" w:right="-705" w:firstLine="284"/>
        <w:jc w:val="right"/>
        <w:rPr>
          <w:rFonts w:ascii="Agency FB" w:hAnsi="Agency FB" w:cstheme="majorBidi"/>
          <w:b/>
          <w:bCs/>
          <w:sz w:val="32"/>
          <w:szCs w:val="32"/>
        </w:rPr>
      </w:pPr>
      <w:r w:rsidRPr="00C85128">
        <w:rPr>
          <w:rFonts w:ascii="Agency FB" w:hAnsi="Agency FB" w:cstheme="majorBidi"/>
          <w:b/>
          <w:bCs/>
          <w:sz w:val="32"/>
          <w:szCs w:val="32"/>
        </w:rPr>
        <w:t xml:space="preserve">Dr.Huda Jasim Jebur </w:t>
      </w:r>
    </w:p>
    <w:p w14:paraId="51F1B8D9" w14:textId="04117D63" w:rsidR="00B450FD" w:rsidRPr="00B450FD" w:rsidRDefault="00B450FD" w:rsidP="00A6224C">
      <w:pPr>
        <w:ind w:left="-709" w:right="-705" w:firstLine="284"/>
        <w:jc w:val="both"/>
        <w:rPr>
          <w:rFonts w:asciiTheme="majorBidi" w:hAnsiTheme="majorBidi" w:cstheme="majorBidi"/>
          <w:sz w:val="32"/>
          <w:szCs w:val="32"/>
        </w:rPr>
      </w:pPr>
      <w:r w:rsidRPr="00B450FD">
        <w:rPr>
          <w:rFonts w:asciiTheme="majorBidi" w:hAnsiTheme="majorBidi" w:cstheme="majorBidi"/>
          <w:sz w:val="32"/>
          <w:szCs w:val="32"/>
        </w:rPr>
        <w:t>The treatment of acute gingival disease</w:t>
      </w:r>
      <w:r w:rsidR="00C85128">
        <w:rPr>
          <w:rFonts w:asciiTheme="majorBidi" w:hAnsiTheme="majorBidi" w:cstheme="majorBidi"/>
          <w:sz w:val="32"/>
          <w:szCs w:val="32"/>
        </w:rPr>
        <w:t>s</w:t>
      </w:r>
      <w:r w:rsidRPr="00B450FD">
        <w:rPr>
          <w:rFonts w:asciiTheme="majorBidi" w:hAnsiTheme="majorBidi" w:cstheme="majorBidi"/>
          <w:sz w:val="32"/>
          <w:szCs w:val="32"/>
        </w:rPr>
        <w:t xml:space="preserve"> entails the</w:t>
      </w:r>
      <w:r>
        <w:rPr>
          <w:rFonts w:asciiTheme="majorBidi" w:hAnsiTheme="majorBidi" w:cstheme="majorBidi"/>
          <w:sz w:val="32"/>
          <w:szCs w:val="32"/>
        </w:rPr>
        <w:t xml:space="preserve"> </w:t>
      </w:r>
      <w:r w:rsidRPr="00B450FD">
        <w:rPr>
          <w:rFonts w:asciiTheme="majorBidi" w:hAnsiTheme="majorBidi" w:cstheme="majorBidi"/>
          <w:sz w:val="32"/>
          <w:szCs w:val="32"/>
        </w:rPr>
        <w:t>alleviation of the acute symptoms and elimination</w:t>
      </w:r>
      <w:r>
        <w:rPr>
          <w:rFonts w:asciiTheme="majorBidi" w:hAnsiTheme="majorBidi" w:cstheme="majorBidi"/>
          <w:sz w:val="32"/>
          <w:szCs w:val="32"/>
        </w:rPr>
        <w:t xml:space="preserve"> </w:t>
      </w:r>
      <w:r w:rsidRPr="00B450FD">
        <w:rPr>
          <w:rFonts w:asciiTheme="majorBidi" w:hAnsiTheme="majorBidi" w:cstheme="majorBidi"/>
          <w:sz w:val="32"/>
          <w:szCs w:val="32"/>
        </w:rPr>
        <w:t>of  periodontal disease</w:t>
      </w:r>
      <w:r w:rsidR="00C85128">
        <w:rPr>
          <w:rFonts w:asciiTheme="majorBidi" w:hAnsiTheme="majorBidi" w:cstheme="majorBidi"/>
          <w:sz w:val="32"/>
          <w:szCs w:val="32"/>
        </w:rPr>
        <w:t>.</w:t>
      </w:r>
      <w:r w:rsidRPr="00B450FD">
        <w:rPr>
          <w:rFonts w:asciiTheme="majorBidi" w:hAnsiTheme="majorBidi" w:cstheme="majorBidi"/>
          <w:sz w:val="32"/>
          <w:szCs w:val="32"/>
        </w:rPr>
        <w:t xml:space="preserve"> </w:t>
      </w:r>
    </w:p>
    <w:p w14:paraId="00314F39" w14:textId="77777777" w:rsidR="00C85128" w:rsidRDefault="00C85128" w:rsidP="00A6224C">
      <w:pPr>
        <w:ind w:left="-709" w:right="-705" w:firstLine="284"/>
        <w:jc w:val="both"/>
        <w:rPr>
          <w:rFonts w:asciiTheme="majorBidi" w:hAnsiTheme="majorBidi" w:cstheme="majorBidi"/>
          <w:b/>
          <w:bCs/>
          <w:sz w:val="36"/>
          <w:szCs w:val="36"/>
        </w:rPr>
      </w:pPr>
    </w:p>
    <w:p w14:paraId="49C71B33" w14:textId="668B11A8" w:rsidR="00B450FD" w:rsidRDefault="00B450FD" w:rsidP="00A6224C">
      <w:pPr>
        <w:ind w:left="-709" w:right="-705" w:firstLine="284"/>
        <w:jc w:val="both"/>
        <w:rPr>
          <w:rFonts w:asciiTheme="majorBidi" w:hAnsiTheme="majorBidi" w:cstheme="majorBidi"/>
          <w:b/>
          <w:bCs/>
          <w:sz w:val="36"/>
          <w:szCs w:val="36"/>
        </w:rPr>
      </w:pPr>
      <w:r w:rsidRPr="00B450FD">
        <w:rPr>
          <w:rFonts w:asciiTheme="majorBidi" w:hAnsiTheme="majorBidi" w:cstheme="majorBidi"/>
          <w:b/>
          <w:bCs/>
          <w:sz w:val="36"/>
          <w:szCs w:val="36"/>
        </w:rPr>
        <w:t>Acute Gingival Disease</w:t>
      </w:r>
      <w:r>
        <w:rPr>
          <w:rFonts w:asciiTheme="majorBidi" w:hAnsiTheme="majorBidi" w:cstheme="majorBidi"/>
          <w:b/>
          <w:bCs/>
          <w:sz w:val="36"/>
          <w:szCs w:val="36"/>
        </w:rPr>
        <w:t>s:</w:t>
      </w:r>
    </w:p>
    <w:p w14:paraId="766B542F" w14:textId="1E20661D" w:rsidR="00B450FD" w:rsidRDefault="00B450FD" w:rsidP="00A6224C">
      <w:pPr>
        <w:ind w:left="-709" w:right="-705" w:firstLine="284"/>
        <w:jc w:val="both"/>
        <w:rPr>
          <w:rFonts w:asciiTheme="majorBidi" w:hAnsiTheme="majorBidi" w:cstheme="majorBidi"/>
          <w:sz w:val="32"/>
          <w:szCs w:val="32"/>
        </w:rPr>
      </w:pPr>
      <w:r>
        <w:rPr>
          <w:rFonts w:asciiTheme="majorBidi" w:hAnsiTheme="majorBidi" w:cstheme="majorBidi"/>
          <w:sz w:val="32"/>
          <w:szCs w:val="32"/>
        </w:rPr>
        <w:t>1-</w:t>
      </w:r>
      <w:r w:rsidRPr="00B450FD">
        <w:rPr>
          <w:rFonts w:ascii="Calibri" w:eastAsia="+mn-ea" w:hAnsi="Calibri" w:cs="Arial"/>
          <w:color w:val="000000"/>
          <w:kern w:val="24"/>
          <w:sz w:val="64"/>
          <w:szCs w:val="64"/>
        </w:rPr>
        <w:t xml:space="preserve"> </w:t>
      </w:r>
      <w:r w:rsidRPr="00B450FD">
        <w:rPr>
          <w:rFonts w:asciiTheme="majorBidi" w:hAnsiTheme="majorBidi" w:cstheme="majorBidi"/>
          <w:sz w:val="32"/>
          <w:szCs w:val="32"/>
        </w:rPr>
        <w:t>Necrotizing ulcerative gingivitis (NUG)</w:t>
      </w:r>
    </w:p>
    <w:p w14:paraId="0E89750E" w14:textId="5BFA2A45" w:rsidR="00B450FD" w:rsidRDefault="00B450FD" w:rsidP="00A6224C">
      <w:pPr>
        <w:ind w:left="-709" w:right="-705" w:firstLine="284"/>
        <w:jc w:val="both"/>
        <w:rPr>
          <w:rFonts w:asciiTheme="majorBidi" w:hAnsiTheme="majorBidi" w:cstheme="majorBidi"/>
          <w:sz w:val="32"/>
          <w:szCs w:val="32"/>
        </w:rPr>
      </w:pPr>
      <w:r>
        <w:rPr>
          <w:rFonts w:asciiTheme="majorBidi" w:hAnsiTheme="majorBidi" w:cstheme="majorBidi"/>
          <w:sz w:val="32"/>
          <w:szCs w:val="32"/>
        </w:rPr>
        <w:t>2-</w:t>
      </w:r>
      <w:r w:rsidRPr="00B450FD">
        <w:rPr>
          <w:rFonts w:ascii="Calibri" w:eastAsia="+mn-ea" w:hAnsi="Calibri" w:cs="Arial"/>
          <w:b/>
          <w:bCs/>
          <w:color w:val="000000"/>
          <w:kern w:val="24"/>
          <w:sz w:val="56"/>
          <w:szCs w:val="56"/>
        </w:rPr>
        <w:t xml:space="preserve"> </w:t>
      </w:r>
      <w:r>
        <w:rPr>
          <w:rFonts w:asciiTheme="majorBidi" w:hAnsiTheme="majorBidi" w:cstheme="majorBidi"/>
          <w:sz w:val="32"/>
          <w:szCs w:val="32"/>
        </w:rPr>
        <w:t>A</w:t>
      </w:r>
      <w:r w:rsidRPr="00B450FD">
        <w:rPr>
          <w:rFonts w:asciiTheme="majorBidi" w:hAnsiTheme="majorBidi" w:cstheme="majorBidi"/>
          <w:sz w:val="32"/>
          <w:szCs w:val="32"/>
        </w:rPr>
        <w:t>cute herpetic gingivostomatitis</w:t>
      </w:r>
    </w:p>
    <w:p w14:paraId="4A5C55CE" w14:textId="77777777" w:rsidR="00B450FD" w:rsidRDefault="00B450FD" w:rsidP="00A6224C">
      <w:pPr>
        <w:ind w:left="-709" w:right="-705" w:firstLine="284"/>
        <w:jc w:val="both"/>
        <w:rPr>
          <w:rFonts w:asciiTheme="majorBidi" w:hAnsiTheme="majorBidi" w:cstheme="majorBidi"/>
          <w:sz w:val="32"/>
          <w:szCs w:val="32"/>
        </w:rPr>
      </w:pPr>
      <w:r>
        <w:rPr>
          <w:rFonts w:asciiTheme="majorBidi" w:hAnsiTheme="majorBidi" w:cstheme="majorBidi"/>
          <w:sz w:val="32"/>
          <w:szCs w:val="32"/>
        </w:rPr>
        <w:t>3-Periocoronitis.</w:t>
      </w:r>
    </w:p>
    <w:p w14:paraId="1887E40F" w14:textId="77777777" w:rsidR="00C85128" w:rsidRDefault="00C85128" w:rsidP="00A6224C">
      <w:pPr>
        <w:ind w:left="-709" w:right="-705" w:firstLine="284"/>
        <w:jc w:val="both"/>
        <w:rPr>
          <w:rFonts w:asciiTheme="majorBidi" w:hAnsiTheme="majorBidi" w:cstheme="majorBidi"/>
          <w:b/>
          <w:bCs/>
          <w:sz w:val="36"/>
          <w:szCs w:val="36"/>
        </w:rPr>
      </w:pPr>
    </w:p>
    <w:p w14:paraId="535490C2" w14:textId="7EB8F47A" w:rsidR="00682552" w:rsidRPr="00C85128" w:rsidRDefault="00682552" w:rsidP="00A6224C">
      <w:pPr>
        <w:ind w:left="-709" w:right="-705" w:firstLine="284"/>
        <w:jc w:val="both"/>
        <w:rPr>
          <w:rFonts w:asciiTheme="majorBidi" w:hAnsiTheme="majorBidi" w:cstheme="majorBidi"/>
          <w:b/>
          <w:bCs/>
          <w:sz w:val="36"/>
          <w:szCs w:val="36"/>
          <w:u w:val="single"/>
        </w:rPr>
      </w:pPr>
      <w:r w:rsidRPr="00C85128">
        <w:rPr>
          <w:rFonts w:asciiTheme="majorBidi" w:hAnsiTheme="majorBidi" w:cstheme="majorBidi"/>
          <w:b/>
          <w:bCs/>
          <w:sz w:val="36"/>
          <w:szCs w:val="36"/>
          <w:u w:val="single"/>
        </w:rPr>
        <w:t>Necrotizing ulcerative gingivitis (NUG)</w:t>
      </w:r>
    </w:p>
    <w:p w14:paraId="6B227E4D" w14:textId="21EB3A7C" w:rsidR="00C85128" w:rsidRPr="00C85128" w:rsidRDefault="00C85128" w:rsidP="00A6224C">
      <w:pPr>
        <w:ind w:left="-709" w:right="-705" w:firstLine="284"/>
        <w:rPr>
          <w:rFonts w:asciiTheme="majorBidi" w:hAnsiTheme="majorBidi" w:cstheme="majorBidi"/>
          <w:sz w:val="32"/>
          <w:szCs w:val="32"/>
        </w:rPr>
      </w:pPr>
      <w:r w:rsidRPr="00C85128">
        <w:rPr>
          <w:rFonts w:asciiTheme="majorBidi" w:hAnsiTheme="majorBidi" w:cstheme="majorBidi"/>
          <w:sz w:val="32"/>
          <w:szCs w:val="32"/>
        </w:rPr>
        <w:t>Necrotizing ulcerative gingivitis (NUG) is a microbial disease of</w:t>
      </w:r>
      <w:r>
        <w:rPr>
          <w:rFonts w:asciiTheme="majorBidi" w:hAnsiTheme="majorBidi" w:cstheme="majorBidi"/>
          <w:sz w:val="32"/>
          <w:szCs w:val="32"/>
        </w:rPr>
        <w:t xml:space="preserve"> </w:t>
      </w:r>
      <w:r w:rsidRPr="00C85128">
        <w:rPr>
          <w:rFonts w:asciiTheme="majorBidi" w:hAnsiTheme="majorBidi" w:cstheme="majorBidi"/>
          <w:sz w:val="32"/>
          <w:szCs w:val="32"/>
        </w:rPr>
        <w:t>the gingiva that most often occurs in an impaired host. It manifests</w:t>
      </w:r>
      <w:r>
        <w:rPr>
          <w:rFonts w:asciiTheme="majorBidi" w:hAnsiTheme="majorBidi" w:cstheme="majorBidi"/>
          <w:sz w:val="32"/>
          <w:szCs w:val="32"/>
        </w:rPr>
        <w:t xml:space="preserve"> </w:t>
      </w:r>
      <w:r w:rsidRPr="00C85128">
        <w:rPr>
          <w:rFonts w:asciiTheme="majorBidi" w:hAnsiTheme="majorBidi" w:cstheme="majorBidi"/>
          <w:sz w:val="32"/>
          <w:szCs w:val="32"/>
        </w:rPr>
        <w:t>with the characteristic clinical signs of necrosis and sloughing</w:t>
      </w:r>
      <w:r>
        <w:rPr>
          <w:rFonts w:asciiTheme="majorBidi" w:hAnsiTheme="majorBidi" w:cstheme="majorBidi"/>
          <w:sz w:val="32"/>
          <w:szCs w:val="32"/>
        </w:rPr>
        <w:t xml:space="preserve"> </w:t>
      </w:r>
      <w:r w:rsidRPr="00C85128">
        <w:rPr>
          <w:rFonts w:asciiTheme="majorBidi" w:hAnsiTheme="majorBidi" w:cstheme="majorBidi"/>
          <w:sz w:val="32"/>
          <w:szCs w:val="32"/>
        </w:rPr>
        <w:t>of the gingival tissues and may be accompanied by systemic</w:t>
      </w:r>
      <w:r>
        <w:rPr>
          <w:rFonts w:asciiTheme="majorBidi" w:hAnsiTheme="majorBidi" w:cstheme="majorBidi"/>
          <w:sz w:val="32"/>
          <w:szCs w:val="32"/>
        </w:rPr>
        <w:t xml:space="preserve"> </w:t>
      </w:r>
      <w:r w:rsidRPr="00C85128">
        <w:rPr>
          <w:rFonts w:asciiTheme="majorBidi" w:hAnsiTheme="majorBidi" w:cstheme="majorBidi"/>
          <w:sz w:val="32"/>
          <w:szCs w:val="32"/>
        </w:rPr>
        <w:t>symptoms.</w:t>
      </w:r>
      <w:r w:rsidRPr="00C85128">
        <w:t xml:space="preserve"> </w:t>
      </w:r>
      <w:r w:rsidRPr="00C85128">
        <w:rPr>
          <w:rFonts w:asciiTheme="majorBidi" w:hAnsiTheme="majorBidi" w:cstheme="majorBidi"/>
          <w:sz w:val="32"/>
          <w:szCs w:val="32"/>
        </w:rPr>
        <w:t>NUG has historically been identified as an acute disease.</w:t>
      </w:r>
      <w:r>
        <w:rPr>
          <w:rFonts w:asciiTheme="majorBidi" w:hAnsiTheme="majorBidi" w:cstheme="majorBidi"/>
          <w:sz w:val="32"/>
          <w:szCs w:val="32"/>
        </w:rPr>
        <w:t xml:space="preserve"> </w:t>
      </w:r>
      <w:r w:rsidRPr="00C85128">
        <w:rPr>
          <w:rFonts w:asciiTheme="majorBidi" w:hAnsiTheme="majorBidi" w:cstheme="majorBidi"/>
          <w:sz w:val="32"/>
          <w:szCs w:val="32"/>
        </w:rPr>
        <w:t>However,</w:t>
      </w:r>
      <w:r>
        <w:rPr>
          <w:rFonts w:asciiTheme="majorBidi" w:hAnsiTheme="majorBidi" w:cstheme="majorBidi"/>
          <w:sz w:val="32"/>
          <w:szCs w:val="32"/>
        </w:rPr>
        <w:t xml:space="preserve"> </w:t>
      </w:r>
      <w:r w:rsidRPr="00C85128">
        <w:rPr>
          <w:rFonts w:asciiTheme="majorBidi" w:hAnsiTheme="majorBidi" w:cstheme="majorBidi"/>
          <w:sz w:val="32"/>
          <w:szCs w:val="32"/>
        </w:rPr>
        <w:t>the term acute in this case is used as a clinical descriptor and not a</w:t>
      </w:r>
      <w:r>
        <w:rPr>
          <w:rFonts w:asciiTheme="majorBidi" w:hAnsiTheme="majorBidi" w:cstheme="majorBidi"/>
          <w:sz w:val="32"/>
          <w:szCs w:val="32"/>
        </w:rPr>
        <w:t xml:space="preserve"> </w:t>
      </w:r>
      <w:r w:rsidRPr="00C85128">
        <w:rPr>
          <w:rFonts w:asciiTheme="majorBidi" w:hAnsiTheme="majorBidi" w:cstheme="majorBidi"/>
          <w:sz w:val="32"/>
          <w:szCs w:val="32"/>
        </w:rPr>
        <w:t>diagnosis because chronic forms of the disease do not exist</w:t>
      </w:r>
      <w:r>
        <w:rPr>
          <w:rFonts w:asciiTheme="majorBidi" w:hAnsiTheme="majorBidi" w:cstheme="majorBidi"/>
          <w:sz w:val="32"/>
          <w:szCs w:val="32"/>
        </w:rPr>
        <w:t>.</w:t>
      </w:r>
      <w:r w:rsidRPr="00C85128">
        <w:t xml:space="preserve"> </w:t>
      </w:r>
      <w:r w:rsidRPr="00C85128">
        <w:rPr>
          <w:rFonts w:asciiTheme="majorBidi" w:hAnsiTheme="majorBidi" w:cstheme="majorBidi"/>
          <w:sz w:val="32"/>
          <w:szCs w:val="32"/>
        </w:rPr>
        <w:t>When periodontal attachment loss and bone loss occurs,</w:t>
      </w:r>
      <w:r>
        <w:rPr>
          <w:rFonts w:asciiTheme="majorBidi" w:hAnsiTheme="majorBidi" w:cstheme="majorBidi"/>
          <w:sz w:val="32"/>
          <w:szCs w:val="32"/>
        </w:rPr>
        <w:t xml:space="preserve"> </w:t>
      </w:r>
      <w:r w:rsidRPr="00C85128">
        <w:rPr>
          <w:rFonts w:asciiTheme="majorBidi" w:hAnsiTheme="majorBidi" w:cstheme="majorBidi"/>
          <w:sz w:val="32"/>
          <w:szCs w:val="32"/>
        </w:rPr>
        <w:t>the condition is called necrotizing ulcerative periodontitis (NUP)</w:t>
      </w:r>
      <w:r w:rsidR="006F437E">
        <w:rPr>
          <w:rFonts w:asciiTheme="majorBidi" w:hAnsiTheme="majorBidi" w:cstheme="majorBidi"/>
          <w:sz w:val="32"/>
          <w:szCs w:val="32"/>
        </w:rPr>
        <w:t>.</w:t>
      </w:r>
    </w:p>
    <w:p w14:paraId="01786AE6" w14:textId="77777777" w:rsidR="00A6224C" w:rsidRDefault="00A6224C" w:rsidP="00A6224C">
      <w:pPr>
        <w:ind w:left="-709" w:right="-705" w:firstLine="284"/>
        <w:rPr>
          <w:rFonts w:asciiTheme="majorBidi" w:hAnsiTheme="majorBidi" w:cstheme="majorBidi"/>
          <w:b/>
          <w:bCs/>
          <w:sz w:val="32"/>
          <w:szCs w:val="32"/>
        </w:rPr>
      </w:pPr>
    </w:p>
    <w:p w14:paraId="2BCB1F62" w14:textId="03A99B5A" w:rsidR="00A6224C" w:rsidRPr="00A6224C" w:rsidRDefault="00A6224C" w:rsidP="00A6224C">
      <w:pPr>
        <w:ind w:left="-709" w:right="-705" w:firstLine="284"/>
        <w:rPr>
          <w:rFonts w:asciiTheme="majorBidi" w:hAnsiTheme="majorBidi" w:cstheme="majorBidi"/>
          <w:b/>
          <w:bCs/>
          <w:sz w:val="32"/>
          <w:szCs w:val="32"/>
        </w:rPr>
      </w:pPr>
      <w:r w:rsidRPr="00A6224C">
        <w:rPr>
          <w:rFonts w:asciiTheme="majorBidi" w:hAnsiTheme="majorBidi" w:cstheme="majorBidi"/>
          <w:b/>
          <w:bCs/>
          <w:sz w:val="32"/>
          <w:szCs w:val="32"/>
        </w:rPr>
        <w:t>History</w:t>
      </w:r>
      <w:r>
        <w:rPr>
          <w:rFonts w:asciiTheme="majorBidi" w:hAnsiTheme="majorBidi" w:cstheme="majorBidi"/>
          <w:b/>
          <w:bCs/>
          <w:sz w:val="32"/>
          <w:szCs w:val="32"/>
        </w:rPr>
        <w:t xml:space="preserve"> of NUG:</w:t>
      </w:r>
    </w:p>
    <w:p w14:paraId="407BC638" w14:textId="3D7EA54D" w:rsidR="00C85128" w:rsidRDefault="00A6224C" w:rsidP="00A6224C">
      <w:pPr>
        <w:ind w:left="-709" w:right="-705" w:firstLine="284"/>
        <w:rPr>
          <w:rFonts w:asciiTheme="majorBidi" w:hAnsiTheme="majorBidi" w:cstheme="majorBidi"/>
          <w:sz w:val="32"/>
          <w:szCs w:val="32"/>
        </w:rPr>
      </w:pPr>
      <w:r w:rsidRPr="00A6224C">
        <w:rPr>
          <w:rFonts w:asciiTheme="majorBidi" w:hAnsiTheme="majorBidi" w:cstheme="majorBidi"/>
          <w:sz w:val="32"/>
          <w:szCs w:val="32"/>
        </w:rPr>
        <w:t>NUG is characterized by a sudden onset of symptoms, sometimes</w:t>
      </w:r>
      <w:r>
        <w:rPr>
          <w:rFonts w:asciiTheme="majorBidi" w:hAnsiTheme="majorBidi" w:cstheme="majorBidi"/>
          <w:sz w:val="32"/>
          <w:szCs w:val="32"/>
        </w:rPr>
        <w:t xml:space="preserve"> </w:t>
      </w:r>
      <w:r w:rsidRPr="00A6224C">
        <w:rPr>
          <w:rFonts w:asciiTheme="majorBidi" w:hAnsiTheme="majorBidi" w:cstheme="majorBidi"/>
          <w:sz w:val="32"/>
          <w:szCs w:val="32"/>
        </w:rPr>
        <w:t>occurring after an episode of debilitating disease or acute respiratory</w:t>
      </w:r>
      <w:r>
        <w:rPr>
          <w:rFonts w:asciiTheme="majorBidi" w:hAnsiTheme="majorBidi" w:cstheme="majorBidi"/>
          <w:sz w:val="32"/>
          <w:szCs w:val="32"/>
        </w:rPr>
        <w:t xml:space="preserve"> </w:t>
      </w:r>
      <w:r w:rsidRPr="00A6224C">
        <w:rPr>
          <w:rFonts w:asciiTheme="majorBidi" w:hAnsiTheme="majorBidi" w:cstheme="majorBidi"/>
          <w:sz w:val="32"/>
          <w:szCs w:val="32"/>
        </w:rPr>
        <w:t>tract infection. A change in living habits, protracted work without</w:t>
      </w:r>
      <w:r>
        <w:rPr>
          <w:rFonts w:asciiTheme="majorBidi" w:hAnsiTheme="majorBidi" w:cstheme="majorBidi"/>
          <w:sz w:val="32"/>
          <w:szCs w:val="32"/>
        </w:rPr>
        <w:t xml:space="preserve"> </w:t>
      </w:r>
      <w:r w:rsidRPr="00A6224C">
        <w:rPr>
          <w:rFonts w:asciiTheme="majorBidi" w:hAnsiTheme="majorBidi" w:cstheme="majorBidi"/>
          <w:sz w:val="32"/>
          <w:szCs w:val="32"/>
        </w:rPr>
        <w:t>adequate rest, poor nutrition, tobacco use, and psychological stress</w:t>
      </w:r>
      <w:r>
        <w:rPr>
          <w:rFonts w:asciiTheme="majorBidi" w:hAnsiTheme="majorBidi" w:cstheme="majorBidi"/>
          <w:sz w:val="32"/>
          <w:szCs w:val="32"/>
        </w:rPr>
        <w:t xml:space="preserve"> </w:t>
      </w:r>
      <w:r w:rsidRPr="00A6224C">
        <w:rPr>
          <w:rFonts w:asciiTheme="majorBidi" w:hAnsiTheme="majorBidi" w:cstheme="majorBidi"/>
          <w:sz w:val="32"/>
          <w:szCs w:val="32"/>
        </w:rPr>
        <w:t>are common features of the patient’s history.</w:t>
      </w:r>
    </w:p>
    <w:p w14:paraId="3E983D49" w14:textId="7173E9D7" w:rsidR="00A6224C" w:rsidRDefault="00A6224C" w:rsidP="00A6224C">
      <w:pPr>
        <w:ind w:left="-709" w:right="-705" w:firstLine="284"/>
        <w:rPr>
          <w:rFonts w:asciiTheme="majorBidi" w:hAnsiTheme="majorBidi" w:cstheme="majorBidi"/>
          <w:sz w:val="32"/>
          <w:szCs w:val="32"/>
        </w:rPr>
      </w:pPr>
    </w:p>
    <w:p w14:paraId="30FFC8D5" w14:textId="5F70F7BA" w:rsidR="00A6224C" w:rsidRPr="00A6224C" w:rsidRDefault="00A6224C" w:rsidP="00A6224C">
      <w:pPr>
        <w:ind w:left="-709" w:right="-705" w:firstLine="284"/>
        <w:rPr>
          <w:rFonts w:asciiTheme="majorBidi" w:hAnsiTheme="majorBidi" w:cstheme="majorBidi"/>
          <w:b/>
          <w:bCs/>
          <w:sz w:val="32"/>
          <w:szCs w:val="32"/>
        </w:rPr>
      </w:pPr>
      <w:r w:rsidRPr="00A6224C">
        <w:rPr>
          <w:rFonts w:asciiTheme="majorBidi" w:hAnsiTheme="majorBidi" w:cstheme="majorBidi"/>
          <w:b/>
          <w:bCs/>
          <w:sz w:val="32"/>
          <w:szCs w:val="32"/>
        </w:rPr>
        <w:t>Etiology</w:t>
      </w:r>
      <w:r>
        <w:rPr>
          <w:rFonts w:asciiTheme="majorBidi" w:hAnsiTheme="majorBidi" w:cstheme="majorBidi"/>
          <w:b/>
          <w:bCs/>
          <w:sz w:val="32"/>
          <w:szCs w:val="32"/>
        </w:rPr>
        <w:t xml:space="preserve"> of NUG</w:t>
      </w:r>
    </w:p>
    <w:p w14:paraId="5FC85816" w14:textId="77777777" w:rsidR="00A6224C" w:rsidRPr="00A6224C" w:rsidRDefault="00A6224C" w:rsidP="00A6224C">
      <w:pPr>
        <w:ind w:left="-709" w:right="-705" w:firstLine="284"/>
        <w:rPr>
          <w:rFonts w:asciiTheme="majorBidi" w:hAnsiTheme="majorBidi" w:cstheme="majorBidi"/>
          <w:b/>
          <w:bCs/>
          <w:sz w:val="32"/>
          <w:szCs w:val="32"/>
        </w:rPr>
      </w:pPr>
      <w:r w:rsidRPr="00A6224C">
        <w:rPr>
          <w:rFonts w:asciiTheme="majorBidi" w:hAnsiTheme="majorBidi" w:cstheme="majorBidi"/>
          <w:b/>
          <w:bCs/>
          <w:sz w:val="32"/>
          <w:szCs w:val="32"/>
        </w:rPr>
        <w:t>Role of Bacteria</w:t>
      </w:r>
    </w:p>
    <w:p w14:paraId="06DED286" w14:textId="22C9081B" w:rsidR="00A6224C" w:rsidRPr="00A6224C" w:rsidRDefault="00A6224C" w:rsidP="00A6224C">
      <w:pPr>
        <w:ind w:left="-709" w:right="-705" w:firstLine="284"/>
        <w:rPr>
          <w:rFonts w:asciiTheme="majorBidi" w:hAnsiTheme="majorBidi" w:cstheme="majorBidi"/>
          <w:sz w:val="32"/>
          <w:szCs w:val="32"/>
        </w:rPr>
      </w:pPr>
      <w:r w:rsidRPr="00A6224C">
        <w:rPr>
          <w:rFonts w:asciiTheme="majorBidi" w:hAnsiTheme="majorBidi" w:cstheme="majorBidi"/>
          <w:sz w:val="32"/>
          <w:szCs w:val="32"/>
        </w:rPr>
        <w:t xml:space="preserve">Plaut in 1894 and Vincent in 1896 postulated that NUG was caused by specific bacteria: </w:t>
      </w:r>
      <w:r w:rsidRPr="00A6224C">
        <w:rPr>
          <w:rFonts w:asciiTheme="majorBidi" w:hAnsiTheme="majorBidi" w:cstheme="majorBidi"/>
          <w:b/>
          <w:bCs/>
          <w:sz w:val="32"/>
          <w:szCs w:val="32"/>
        </w:rPr>
        <w:t>fusiform bacilli and spirochetal organisms</w:t>
      </w:r>
      <w:r w:rsidRPr="00A6224C">
        <w:rPr>
          <w:rFonts w:asciiTheme="majorBidi" w:hAnsiTheme="majorBidi" w:cstheme="majorBidi"/>
          <w:sz w:val="32"/>
          <w:szCs w:val="32"/>
        </w:rPr>
        <w:t>.</w:t>
      </w:r>
    </w:p>
    <w:p w14:paraId="56E5A707" w14:textId="77777777" w:rsidR="00C85128" w:rsidRDefault="00C85128" w:rsidP="00A6224C">
      <w:pPr>
        <w:ind w:left="-709" w:right="-705" w:firstLine="284"/>
        <w:jc w:val="both"/>
        <w:rPr>
          <w:rFonts w:asciiTheme="majorBidi" w:hAnsiTheme="majorBidi" w:cstheme="majorBidi"/>
          <w:b/>
          <w:bCs/>
          <w:sz w:val="32"/>
          <w:szCs w:val="32"/>
        </w:rPr>
      </w:pPr>
    </w:p>
    <w:p w14:paraId="1E8D04AE" w14:textId="67703672" w:rsidR="00841A8B" w:rsidRPr="00841A8B" w:rsidRDefault="00841A8B" w:rsidP="00A6224C">
      <w:pPr>
        <w:ind w:left="-709" w:right="-705" w:firstLine="284"/>
        <w:jc w:val="both"/>
        <w:rPr>
          <w:rFonts w:asciiTheme="majorBidi" w:hAnsiTheme="majorBidi" w:cstheme="majorBidi"/>
          <w:b/>
          <w:bCs/>
          <w:sz w:val="32"/>
          <w:szCs w:val="32"/>
        </w:rPr>
      </w:pPr>
      <w:r w:rsidRPr="00841A8B">
        <w:rPr>
          <w:rFonts w:asciiTheme="majorBidi" w:hAnsiTheme="majorBidi" w:cstheme="majorBidi"/>
          <w:b/>
          <w:bCs/>
          <w:sz w:val="32"/>
          <w:szCs w:val="32"/>
        </w:rPr>
        <w:t>Oral Signs</w:t>
      </w:r>
      <w:r>
        <w:rPr>
          <w:rFonts w:asciiTheme="majorBidi" w:hAnsiTheme="majorBidi" w:cstheme="majorBidi"/>
          <w:b/>
          <w:bCs/>
          <w:sz w:val="32"/>
          <w:szCs w:val="32"/>
        </w:rPr>
        <w:t xml:space="preserve"> of NUG:</w:t>
      </w:r>
    </w:p>
    <w:p w14:paraId="25920211" w14:textId="77777777" w:rsidR="00C85128" w:rsidRDefault="00841A8B" w:rsidP="00A6224C">
      <w:pPr>
        <w:pStyle w:val="ListParagraph"/>
        <w:numPr>
          <w:ilvl w:val="0"/>
          <w:numId w:val="4"/>
        </w:numPr>
        <w:ind w:left="-709" w:right="-705" w:firstLine="284"/>
        <w:jc w:val="both"/>
        <w:rPr>
          <w:rFonts w:asciiTheme="majorBidi" w:hAnsiTheme="majorBidi" w:cstheme="majorBidi"/>
          <w:sz w:val="32"/>
          <w:szCs w:val="32"/>
        </w:rPr>
      </w:pPr>
      <w:r w:rsidRPr="00C85128">
        <w:rPr>
          <w:rFonts w:asciiTheme="majorBidi" w:hAnsiTheme="majorBidi" w:cstheme="majorBidi"/>
          <w:sz w:val="32"/>
          <w:szCs w:val="32"/>
        </w:rPr>
        <w:t>Characteristic lesions are punched-out, craterlike depressions at the crest of the interdental papillae, subsequently extending to the marginal gingiva and rarely to the attached gingiva and oral mucosa.</w:t>
      </w:r>
    </w:p>
    <w:p w14:paraId="7C9A482A" w14:textId="77777777" w:rsidR="00C85128" w:rsidRDefault="00C85128" w:rsidP="00A6224C">
      <w:pPr>
        <w:pStyle w:val="ListParagraph"/>
        <w:ind w:left="-709" w:right="-705" w:firstLine="284"/>
        <w:jc w:val="both"/>
        <w:rPr>
          <w:rFonts w:asciiTheme="majorBidi" w:hAnsiTheme="majorBidi" w:cstheme="majorBidi"/>
          <w:sz w:val="32"/>
          <w:szCs w:val="32"/>
        </w:rPr>
      </w:pPr>
    </w:p>
    <w:p w14:paraId="5F1239C1" w14:textId="3309105C" w:rsidR="005E0550" w:rsidRDefault="00841A8B" w:rsidP="00A6224C">
      <w:pPr>
        <w:pStyle w:val="ListParagraph"/>
        <w:numPr>
          <w:ilvl w:val="0"/>
          <w:numId w:val="4"/>
        </w:numPr>
        <w:ind w:left="-709" w:right="-705" w:firstLine="284"/>
        <w:jc w:val="both"/>
        <w:rPr>
          <w:rFonts w:asciiTheme="majorBidi" w:hAnsiTheme="majorBidi" w:cstheme="majorBidi"/>
          <w:sz w:val="32"/>
          <w:szCs w:val="32"/>
        </w:rPr>
      </w:pPr>
      <w:r w:rsidRPr="00C85128">
        <w:rPr>
          <w:rFonts w:asciiTheme="majorBidi" w:hAnsiTheme="majorBidi" w:cstheme="majorBidi"/>
          <w:sz w:val="32"/>
          <w:szCs w:val="32"/>
        </w:rPr>
        <w:t>The surface of the gingival craters is covered by a gray, pseudomembranous slough, demarcated from the remainder of the gingival mucosa by a pronounced linear erythema</w:t>
      </w:r>
      <w:r w:rsidR="00A93BD0" w:rsidRPr="00C85128">
        <w:rPr>
          <w:rFonts w:asciiTheme="majorBidi" w:hAnsiTheme="majorBidi" w:cstheme="majorBidi"/>
          <w:sz w:val="32"/>
          <w:szCs w:val="32"/>
        </w:rPr>
        <w:t>.</w:t>
      </w:r>
    </w:p>
    <w:p w14:paraId="7DC55D14" w14:textId="77777777" w:rsidR="005E0550" w:rsidRPr="005E0550" w:rsidRDefault="005E0550" w:rsidP="00A6224C">
      <w:pPr>
        <w:ind w:left="-709" w:right="-705" w:firstLine="284"/>
        <w:jc w:val="both"/>
        <w:rPr>
          <w:rFonts w:asciiTheme="majorBidi" w:hAnsiTheme="majorBidi" w:cstheme="majorBidi"/>
          <w:sz w:val="32"/>
          <w:szCs w:val="32"/>
        </w:rPr>
      </w:pPr>
    </w:p>
    <w:p w14:paraId="35B4D3AE" w14:textId="77777777" w:rsidR="00C85128" w:rsidRDefault="00A93BD0" w:rsidP="00A6224C">
      <w:pPr>
        <w:pStyle w:val="ListParagraph"/>
        <w:numPr>
          <w:ilvl w:val="0"/>
          <w:numId w:val="4"/>
        </w:numPr>
        <w:ind w:left="-709" w:right="-705" w:firstLine="284"/>
        <w:jc w:val="both"/>
        <w:rPr>
          <w:rFonts w:asciiTheme="majorBidi" w:hAnsiTheme="majorBidi" w:cstheme="majorBidi"/>
          <w:sz w:val="32"/>
          <w:szCs w:val="32"/>
        </w:rPr>
      </w:pPr>
      <w:r w:rsidRPr="00C85128">
        <w:rPr>
          <w:rFonts w:asciiTheme="majorBidi" w:hAnsiTheme="majorBidi" w:cstheme="majorBidi"/>
          <w:sz w:val="32"/>
          <w:szCs w:val="32"/>
        </w:rPr>
        <w:t>Spontaneous gingival hemorrhage or pronounced bleeding after the slightest stimulation are additional characteristic clinical signs.</w:t>
      </w:r>
    </w:p>
    <w:p w14:paraId="752997F1" w14:textId="77777777" w:rsidR="00C85128" w:rsidRPr="00C85128" w:rsidRDefault="00C85128" w:rsidP="00A6224C">
      <w:pPr>
        <w:pStyle w:val="ListParagraph"/>
        <w:ind w:left="-709" w:firstLine="284"/>
        <w:rPr>
          <w:rFonts w:asciiTheme="majorBidi" w:hAnsiTheme="majorBidi" w:cstheme="majorBidi"/>
          <w:sz w:val="32"/>
          <w:szCs w:val="32"/>
        </w:rPr>
      </w:pPr>
    </w:p>
    <w:p w14:paraId="1040C90C" w14:textId="3966C449" w:rsidR="00A93BD0" w:rsidRDefault="00A93BD0" w:rsidP="00A6224C">
      <w:pPr>
        <w:pStyle w:val="ListParagraph"/>
        <w:numPr>
          <w:ilvl w:val="0"/>
          <w:numId w:val="4"/>
        </w:numPr>
        <w:ind w:left="-709" w:right="-705" w:firstLine="284"/>
        <w:jc w:val="both"/>
        <w:rPr>
          <w:rFonts w:asciiTheme="majorBidi" w:hAnsiTheme="majorBidi" w:cstheme="majorBidi"/>
          <w:sz w:val="32"/>
          <w:szCs w:val="32"/>
        </w:rPr>
      </w:pPr>
      <w:r w:rsidRPr="00C85128">
        <w:rPr>
          <w:rFonts w:asciiTheme="majorBidi" w:hAnsiTheme="majorBidi" w:cstheme="majorBidi"/>
          <w:sz w:val="32"/>
          <w:szCs w:val="32"/>
        </w:rPr>
        <w:t>Other signs often found are fetid odor and increased salivation.</w:t>
      </w:r>
    </w:p>
    <w:p w14:paraId="26A90666" w14:textId="77777777" w:rsidR="00C85128" w:rsidRPr="00C85128" w:rsidRDefault="00C85128" w:rsidP="00A6224C">
      <w:pPr>
        <w:pStyle w:val="ListParagraph"/>
        <w:ind w:left="-709" w:firstLine="284"/>
        <w:rPr>
          <w:rFonts w:asciiTheme="majorBidi" w:hAnsiTheme="majorBidi" w:cstheme="majorBidi"/>
          <w:sz w:val="32"/>
          <w:szCs w:val="32"/>
        </w:rPr>
      </w:pPr>
    </w:p>
    <w:p w14:paraId="3684FB4A" w14:textId="77777777" w:rsidR="00C85128" w:rsidRPr="00C85128" w:rsidRDefault="00C85128" w:rsidP="00A6224C">
      <w:pPr>
        <w:pStyle w:val="ListParagraph"/>
        <w:ind w:left="-709" w:right="-705" w:firstLine="284"/>
        <w:jc w:val="both"/>
        <w:rPr>
          <w:rFonts w:asciiTheme="majorBidi" w:hAnsiTheme="majorBidi" w:cstheme="majorBidi"/>
          <w:sz w:val="32"/>
          <w:szCs w:val="32"/>
        </w:rPr>
      </w:pPr>
    </w:p>
    <w:p w14:paraId="206D7E78" w14:textId="5A3C027E" w:rsidR="00A93BD0" w:rsidRDefault="00A93BD0" w:rsidP="00A6224C">
      <w:pPr>
        <w:ind w:left="-709" w:right="-705" w:firstLine="284"/>
        <w:jc w:val="both"/>
        <w:rPr>
          <w:rFonts w:asciiTheme="majorBidi" w:hAnsiTheme="majorBidi" w:cstheme="majorBidi"/>
          <w:sz w:val="32"/>
          <w:szCs w:val="32"/>
        </w:rPr>
      </w:pPr>
      <w:r w:rsidRPr="005E0550">
        <w:rPr>
          <w:rFonts w:asciiTheme="majorBidi" w:hAnsiTheme="majorBidi" w:cstheme="majorBidi"/>
          <w:sz w:val="32"/>
          <w:szCs w:val="32"/>
        </w:rPr>
        <w:t>The characteristic lesions may progressively destroy the gingiva and underlying periodontal tissues</w:t>
      </w:r>
      <w:r w:rsidR="007D2FC3" w:rsidRPr="005E0550">
        <w:rPr>
          <w:rFonts w:asciiTheme="majorBidi" w:hAnsiTheme="majorBidi" w:cstheme="majorBidi"/>
          <w:sz w:val="32"/>
          <w:szCs w:val="32"/>
        </w:rPr>
        <w:t xml:space="preserve">, but </w:t>
      </w:r>
      <w:r w:rsidRPr="005E0550">
        <w:rPr>
          <w:rFonts w:asciiTheme="majorBidi" w:hAnsiTheme="majorBidi" w:cstheme="majorBidi"/>
          <w:sz w:val="32"/>
          <w:szCs w:val="32"/>
        </w:rPr>
        <w:t>NUG or NUP does not usually lead to periodontal pocket formation because the necrotic changes in</w:t>
      </w:r>
      <w:r w:rsidR="007D2FC3" w:rsidRPr="005E0550">
        <w:rPr>
          <w:rFonts w:asciiTheme="majorBidi" w:hAnsiTheme="majorBidi" w:cstheme="majorBidi"/>
          <w:sz w:val="32"/>
          <w:szCs w:val="32"/>
        </w:rPr>
        <w:t>volve the junctional epithelium and</w:t>
      </w:r>
      <w:r w:rsidRPr="005E0550">
        <w:rPr>
          <w:rFonts w:asciiTheme="majorBidi" w:hAnsiTheme="majorBidi" w:cstheme="majorBidi"/>
          <w:sz w:val="32"/>
          <w:szCs w:val="32"/>
        </w:rPr>
        <w:t xml:space="preserve"> a viable junctional epithelium</w:t>
      </w:r>
      <w:r w:rsidR="007D2FC3" w:rsidRPr="005E0550">
        <w:rPr>
          <w:rFonts w:asciiTheme="majorBidi" w:hAnsiTheme="majorBidi" w:cstheme="majorBidi"/>
          <w:sz w:val="32"/>
          <w:szCs w:val="32"/>
        </w:rPr>
        <w:t xml:space="preserve"> is needed for pocket deepening</w:t>
      </w:r>
      <w:r w:rsidR="00225173" w:rsidRPr="005E0550">
        <w:rPr>
          <w:rFonts w:asciiTheme="majorBidi" w:hAnsiTheme="majorBidi" w:cstheme="majorBidi"/>
          <w:sz w:val="32"/>
          <w:szCs w:val="32"/>
        </w:rPr>
        <w:t xml:space="preserve"> so causing gingival recession rather than pocket formation</w:t>
      </w:r>
      <w:r w:rsidR="007D2FC3" w:rsidRPr="005E0550">
        <w:rPr>
          <w:rFonts w:asciiTheme="majorBidi" w:hAnsiTheme="majorBidi" w:cstheme="majorBidi"/>
          <w:sz w:val="32"/>
          <w:szCs w:val="32"/>
        </w:rPr>
        <w:t>, however,</w:t>
      </w:r>
      <w:r w:rsidR="005E0550">
        <w:rPr>
          <w:rFonts w:asciiTheme="majorBidi" w:hAnsiTheme="majorBidi" w:cstheme="majorBidi"/>
          <w:sz w:val="32"/>
          <w:szCs w:val="32"/>
        </w:rPr>
        <w:t xml:space="preserve"> </w:t>
      </w:r>
      <w:r w:rsidRPr="005E0550">
        <w:rPr>
          <w:rFonts w:asciiTheme="majorBidi" w:hAnsiTheme="majorBidi" w:cstheme="majorBidi"/>
          <w:sz w:val="32"/>
          <w:szCs w:val="32"/>
        </w:rPr>
        <w:t>NUG can occur in otherwise disease-free mouths or can be superimposed on chronic gingivitis or periodontal pockets</w:t>
      </w:r>
      <w:r w:rsidR="007D2FC3" w:rsidRPr="005E0550">
        <w:rPr>
          <w:rFonts w:asciiTheme="majorBidi" w:hAnsiTheme="majorBidi" w:cstheme="majorBidi"/>
          <w:sz w:val="32"/>
          <w:szCs w:val="32"/>
        </w:rPr>
        <w:t>.</w:t>
      </w:r>
    </w:p>
    <w:p w14:paraId="4B38856D" w14:textId="5263756C" w:rsidR="005E0550" w:rsidRDefault="005E0550" w:rsidP="00A6224C">
      <w:pPr>
        <w:ind w:left="-709" w:right="-705" w:firstLine="284"/>
        <w:jc w:val="both"/>
        <w:rPr>
          <w:rFonts w:asciiTheme="majorBidi" w:hAnsiTheme="majorBidi" w:cstheme="majorBidi"/>
          <w:sz w:val="32"/>
          <w:szCs w:val="32"/>
        </w:rPr>
      </w:pPr>
    </w:p>
    <w:p w14:paraId="21575566" w14:textId="77777777" w:rsidR="00A6224C" w:rsidRDefault="00A6224C" w:rsidP="00A6224C">
      <w:pPr>
        <w:ind w:left="-709" w:right="-705" w:firstLine="284"/>
        <w:rPr>
          <w:rFonts w:asciiTheme="majorBidi" w:hAnsiTheme="majorBidi" w:cstheme="majorBidi"/>
          <w:b/>
          <w:bCs/>
          <w:sz w:val="32"/>
          <w:szCs w:val="32"/>
        </w:rPr>
      </w:pPr>
    </w:p>
    <w:p w14:paraId="1BC5F828" w14:textId="1548B513" w:rsidR="005E0550" w:rsidRPr="005E0550" w:rsidRDefault="005E0550" w:rsidP="00A6224C">
      <w:pPr>
        <w:ind w:left="-709" w:right="-705" w:firstLine="284"/>
        <w:rPr>
          <w:rFonts w:asciiTheme="majorBidi" w:hAnsiTheme="majorBidi" w:cstheme="majorBidi"/>
          <w:b/>
          <w:bCs/>
          <w:sz w:val="32"/>
          <w:szCs w:val="32"/>
        </w:rPr>
      </w:pPr>
      <w:r w:rsidRPr="005E0550">
        <w:rPr>
          <w:rFonts w:asciiTheme="majorBidi" w:hAnsiTheme="majorBidi" w:cstheme="majorBidi"/>
          <w:b/>
          <w:bCs/>
          <w:sz w:val="32"/>
          <w:szCs w:val="32"/>
        </w:rPr>
        <w:lastRenderedPageBreak/>
        <w:t>Oral Symptoms</w:t>
      </w:r>
      <w:r>
        <w:rPr>
          <w:rFonts w:asciiTheme="majorBidi" w:hAnsiTheme="majorBidi" w:cstheme="majorBidi"/>
          <w:b/>
          <w:bCs/>
          <w:sz w:val="32"/>
          <w:szCs w:val="32"/>
        </w:rPr>
        <w:t xml:space="preserve"> of NUG</w:t>
      </w:r>
    </w:p>
    <w:p w14:paraId="3C3C3312" w14:textId="4090C47F" w:rsidR="005E0550" w:rsidRDefault="005E0550" w:rsidP="00A6224C">
      <w:pPr>
        <w:pStyle w:val="ListParagraph"/>
        <w:numPr>
          <w:ilvl w:val="0"/>
          <w:numId w:val="7"/>
        </w:numPr>
        <w:ind w:left="-709" w:right="-705" w:firstLine="284"/>
        <w:rPr>
          <w:rFonts w:asciiTheme="majorBidi" w:hAnsiTheme="majorBidi" w:cstheme="majorBidi"/>
          <w:sz w:val="32"/>
          <w:szCs w:val="32"/>
        </w:rPr>
      </w:pPr>
      <w:r w:rsidRPr="005E0550">
        <w:rPr>
          <w:rFonts w:asciiTheme="majorBidi" w:hAnsiTheme="majorBidi" w:cstheme="majorBidi"/>
          <w:sz w:val="32"/>
          <w:szCs w:val="32"/>
        </w:rPr>
        <w:t>The lesions are extremely sensitive to touch</w:t>
      </w:r>
      <w:r>
        <w:rPr>
          <w:rFonts w:asciiTheme="majorBidi" w:hAnsiTheme="majorBidi" w:cstheme="majorBidi"/>
          <w:sz w:val="32"/>
          <w:szCs w:val="32"/>
        </w:rPr>
        <w:t>.</w:t>
      </w:r>
    </w:p>
    <w:p w14:paraId="6A9C6F4C" w14:textId="289A3FDD" w:rsidR="005E0550" w:rsidRDefault="005E0550" w:rsidP="00A6224C">
      <w:pPr>
        <w:pStyle w:val="ListParagraph"/>
        <w:numPr>
          <w:ilvl w:val="0"/>
          <w:numId w:val="7"/>
        </w:numPr>
        <w:ind w:left="-709" w:right="-705" w:firstLine="284"/>
        <w:rPr>
          <w:rFonts w:asciiTheme="majorBidi" w:hAnsiTheme="majorBidi" w:cstheme="majorBidi"/>
          <w:sz w:val="32"/>
          <w:szCs w:val="32"/>
        </w:rPr>
      </w:pPr>
      <w:r w:rsidRPr="005E0550">
        <w:rPr>
          <w:rFonts w:asciiTheme="majorBidi" w:hAnsiTheme="majorBidi" w:cstheme="majorBidi"/>
          <w:sz w:val="32"/>
          <w:szCs w:val="32"/>
        </w:rPr>
        <w:t xml:space="preserve"> </w:t>
      </w:r>
      <w:r>
        <w:rPr>
          <w:rFonts w:asciiTheme="majorBidi" w:hAnsiTheme="majorBidi" w:cstheme="majorBidi"/>
          <w:sz w:val="32"/>
          <w:szCs w:val="32"/>
        </w:rPr>
        <w:t>P</w:t>
      </w:r>
      <w:r w:rsidRPr="005E0550">
        <w:rPr>
          <w:rFonts w:asciiTheme="majorBidi" w:hAnsiTheme="majorBidi" w:cstheme="majorBidi"/>
          <w:sz w:val="32"/>
          <w:szCs w:val="32"/>
        </w:rPr>
        <w:t>atient often</w:t>
      </w:r>
      <w:r>
        <w:rPr>
          <w:rFonts w:asciiTheme="majorBidi" w:hAnsiTheme="majorBidi" w:cstheme="majorBidi"/>
          <w:sz w:val="32"/>
          <w:szCs w:val="32"/>
        </w:rPr>
        <w:t xml:space="preserve"> </w:t>
      </w:r>
      <w:r w:rsidRPr="005E0550">
        <w:rPr>
          <w:rFonts w:asciiTheme="majorBidi" w:hAnsiTheme="majorBidi" w:cstheme="majorBidi"/>
          <w:sz w:val="32"/>
          <w:szCs w:val="32"/>
        </w:rPr>
        <w:t>complains of a constant radiating, gnawing pain that is intensified by</w:t>
      </w:r>
      <w:r>
        <w:rPr>
          <w:rFonts w:asciiTheme="majorBidi" w:hAnsiTheme="majorBidi" w:cstheme="majorBidi"/>
          <w:sz w:val="32"/>
          <w:szCs w:val="32"/>
        </w:rPr>
        <w:t xml:space="preserve"> </w:t>
      </w:r>
      <w:r w:rsidRPr="005E0550">
        <w:rPr>
          <w:rFonts w:asciiTheme="majorBidi" w:hAnsiTheme="majorBidi" w:cstheme="majorBidi"/>
          <w:sz w:val="32"/>
          <w:szCs w:val="32"/>
        </w:rPr>
        <w:t>eating spicy or hot foods and chewing</w:t>
      </w:r>
      <w:r>
        <w:rPr>
          <w:rFonts w:asciiTheme="majorBidi" w:hAnsiTheme="majorBidi" w:cstheme="majorBidi"/>
          <w:sz w:val="32"/>
          <w:szCs w:val="32"/>
        </w:rPr>
        <w:t>.</w:t>
      </w:r>
      <w:r w:rsidRPr="005E0550">
        <w:rPr>
          <w:rFonts w:asciiTheme="majorBidi" w:hAnsiTheme="majorBidi" w:cstheme="majorBidi"/>
          <w:sz w:val="32"/>
          <w:szCs w:val="32"/>
        </w:rPr>
        <w:t xml:space="preserve"> </w:t>
      </w:r>
    </w:p>
    <w:p w14:paraId="305A324B" w14:textId="6183681A" w:rsidR="005E0550" w:rsidRDefault="005E0550" w:rsidP="00A6224C">
      <w:pPr>
        <w:pStyle w:val="ListParagraph"/>
        <w:numPr>
          <w:ilvl w:val="0"/>
          <w:numId w:val="7"/>
        </w:numPr>
        <w:ind w:left="-709" w:right="-705" w:firstLine="284"/>
        <w:rPr>
          <w:rFonts w:asciiTheme="majorBidi" w:hAnsiTheme="majorBidi" w:cstheme="majorBidi"/>
          <w:sz w:val="32"/>
          <w:szCs w:val="32"/>
        </w:rPr>
      </w:pPr>
      <w:r w:rsidRPr="005E0550">
        <w:rPr>
          <w:rFonts w:asciiTheme="majorBidi" w:hAnsiTheme="majorBidi" w:cstheme="majorBidi"/>
          <w:sz w:val="32"/>
          <w:szCs w:val="32"/>
        </w:rPr>
        <w:t>There is a metallic foul taste</w:t>
      </w:r>
      <w:r>
        <w:rPr>
          <w:rFonts w:asciiTheme="majorBidi" w:hAnsiTheme="majorBidi" w:cstheme="majorBidi"/>
          <w:sz w:val="32"/>
          <w:szCs w:val="32"/>
        </w:rPr>
        <w:t>.</w:t>
      </w:r>
    </w:p>
    <w:p w14:paraId="4C9C8D5F" w14:textId="5F0FA0E9" w:rsidR="005E0550" w:rsidRPr="005E0550" w:rsidRDefault="005E0550" w:rsidP="00A6224C">
      <w:pPr>
        <w:pStyle w:val="ListParagraph"/>
        <w:numPr>
          <w:ilvl w:val="0"/>
          <w:numId w:val="7"/>
        </w:numPr>
        <w:ind w:left="-709" w:right="-705" w:firstLine="284"/>
        <w:rPr>
          <w:rFonts w:asciiTheme="majorBidi" w:hAnsiTheme="majorBidi" w:cstheme="majorBidi"/>
          <w:sz w:val="32"/>
          <w:szCs w:val="32"/>
        </w:rPr>
      </w:pPr>
      <w:r>
        <w:rPr>
          <w:rFonts w:asciiTheme="majorBidi" w:hAnsiTheme="majorBidi" w:cstheme="majorBidi"/>
          <w:sz w:val="32"/>
          <w:szCs w:val="32"/>
        </w:rPr>
        <w:t>The</w:t>
      </w:r>
      <w:r w:rsidRPr="005E0550">
        <w:rPr>
          <w:rFonts w:asciiTheme="majorBidi" w:hAnsiTheme="majorBidi" w:cstheme="majorBidi"/>
          <w:sz w:val="32"/>
          <w:szCs w:val="32"/>
        </w:rPr>
        <w:t xml:space="preserve"> patient is conscious of an excessive amount of pasty saliva.</w:t>
      </w:r>
    </w:p>
    <w:p w14:paraId="26936604" w14:textId="77777777" w:rsidR="00D5514F" w:rsidRDefault="00D5514F" w:rsidP="00A6224C">
      <w:pPr>
        <w:ind w:left="-709" w:right="-705" w:firstLine="284"/>
        <w:jc w:val="both"/>
        <w:rPr>
          <w:rFonts w:asciiTheme="majorBidi" w:hAnsiTheme="majorBidi" w:cstheme="majorBidi"/>
          <w:sz w:val="32"/>
          <w:szCs w:val="32"/>
        </w:rPr>
      </w:pPr>
    </w:p>
    <w:p w14:paraId="23998269" w14:textId="1E365CD0" w:rsidR="004E09C4" w:rsidRPr="004E09C4" w:rsidRDefault="004E09C4" w:rsidP="00A6224C">
      <w:pPr>
        <w:ind w:left="-709" w:right="-705" w:firstLine="284"/>
        <w:jc w:val="both"/>
        <w:rPr>
          <w:rFonts w:asciiTheme="majorBidi" w:hAnsiTheme="majorBidi" w:cstheme="majorBidi"/>
          <w:b/>
          <w:bCs/>
          <w:sz w:val="36"/>
          <w:szCs w:val="36"/>
        </w:rPr>
      </w:pPr>
      <w:r w:rsidRPr="004E09C4">
        <w:rPr>
          <w:rFonts w:asciiTheme="majorBidi" w:hAnsiTheme="majorBidi" w:cstheme="majorBidi"/>
          <w:b/>
          <w:bCs/>
          <w:sz w:val="36"/>
          <w:szCs w:val="36"/>
        </w:rPr>
        <w:t>Extraoral and Systemic Signs and Symptoms</w:t>
      </w:r>
    </w:p>
    <w:p w14:paraId="5F9C40AB" w14:textId="77777777" w:rsidR="005E0550" w:rsidRDefault="004E09C4" w:rsidP="00A6224C">
      <w:pPr>
        <w:pStyle w:val="ListParagraph"/>
        <w:numPr>
          <w:ilvl w:val="0"/>
          <w:numId w:val="6"/>
        </w:numPr>
        <w:ind w:left="-709" w:right="-705" w:firstLine="284"/>
        <w:jc w:val="both"/>
        <w:rPr>
          <w:rFonts w:asciiTheme="majorBidi" w:hAnsiTheme="majorBidi" w:cstheme="majorBidi"/>
          <w:sz w:val="32"/>
          <w:szCs w:val="32"/>
        </w:rPr>
      </w:pPr>
      <w:r w:rsidRPr="005E0550">
        <w:rPr>
          <w:rFonts w:asciiTheme="majorBidi" w:hAnsiTheme="majorBidi" w:cstheme="majorBidi"/>
          <w:sz w:val="32"/>
          <w:szCs w:val="32"/>
        </w:rPr>
        <w:t xml:space="preserve">Patients are usually ambulatory and have a minimum of systemic symptoms. </w:t>
      </w:r>
    </w:p>
    <w:p w14:paraId="026E3D8D" w14:textId="77777777" w:rsidR="005E0550" w:rsidRDefault="004E09C4" w:rsidP="00A6224C">
      <w:pPr>
        <w:pStyle w:val="ListParagraph"/>
        <w:numPr>
          <w:ilvl w:val="0"/>
          <w:numId w:val="6"/>
        </w:numPr>
        <w:ind w:left="-709" w:right="-705" w:firstLine="284"/>
        <w:jc w:val="both"/>
        <w:rPr>
          <w:rFonts w:asciiTheme="majorBidi" w:hAnsiTheme="majorBidi" w:cstheme="majorBidi"/>
          <w:sz w:val="32"/>
          <w:szCs w:val="32"/>
        </w:rPr>
      </w:pPr>
      <w:r w:rsidRPr="005E0550">
        <w:rPr>
          <w:rFonts w:asciiTheme="majorBidi" w:hAnsiTheme="majorBidi" w:cstheme="majorBidi"/>
          <w:sz w:val="32"/>
          <w:szCs w:val="32"/>
        </w:rPr>
        <w:t xml:space="preserve"> Local lymphadenopathy</w:t>
      </w:r>
      <w:r w:rsidR="00D0527D" w:rsidRPr="005E0550">
        <w:rPr>
          <w:rFonts w:asciiTheme="majorBidi" w:hAnsiTheme="majorBidi" w:cstheme="majorBidi"/>
          <w:sz w:val="32"/>
          <w:szCs w:val="32"/>
        </w:rPr>
        <w:t xml:space="preserve"> </w:t>
      </w:r>
      <w:r w:rsidRPr="005E0550">
        <w:rPr>
          <w:rFonts w:asciiTheme="majorBidi" w:hAnsiTheme="majorBidi" w:cstheme="majorBidi"/>
          <w:sz w:val="32"/>
          <w:szCs w:val="32"/>
        </w:rPr>
        <w:t>and a slight elevation in temperature are common features of the mild and moderate stages of the disease.</w:t>
      </w:r>
    </w:p>
    <w:p w14:paraId="0C88590C" w14:textId="0CCF135B" w:rsidR="004E09C4" w:rsidRDefault="004E09C4" w:rsidP="00A6224C">
      <w:pPr>
        <w:pStyle w:val="ListParagraph"/>
        <w:numPr>
          <w:ilvl w:val="0"/>
          <w:numId w:val="6"/>
        </w:numPr>
        <w:ind w:left="-709" w:right="-705" w:firstLine="284"/>
        <w:jc w:val="both"/>
        <w:rPr>
          <w:rFonts w:asciiTheme="majorBidi" w:hAnsiTheme="majorBidi" w:cstheme="majorBidi"/>
          <w:sz w:val="32"/>
          <w:szCs w:val="32"/>
        </w:rPr>
      </w:pPr>
      <w:r w:rsidRPr="005E0550">
        <w:rPr>
          <w:rFonts w:asciiTheme="majorBidi" w:hAnsiTheme="majorBidi" w:cstheme="majorBidi"/>
          <w:sz w:val="32"/>
          <w:szCs w:val="32"/>
        </w:rPr>
        <w:t xml:space="preserve"> In severe cases, there may be high fever, increased pulse rate, leukocytosis, loss of appetite, and general lassitude.</w:t>
      </w:r>
    </w:p>
    <w:p w14:paraId="7FC2D3C1" w14:textId="77777777" w:rsidR="00FB0B41" w:rsidRDefault="00FB0B41" w:rsidP="00A6224C">
      <w:pPr>
        <w:ind w:left="-709" w:right="-705" w:firstLine="284"/>
        <w:jc w:val="both"/>
        <w:rPr>
          <w:rFonts w:asciiTheme="majorBidi" w:hAnsiTheme="majorBidi" w:cstheme="majorBidi"/>
          <w:sz w:val="32"/>
          <w:szCs w:val="32"/>
        </w:rPr>
      </w:pPr>
    </w:p>
    <w:p w14:paraId="70428647" w14:textId="77777777" w:rsidR="009A4088" w:rsidRPr="009A4088" w:rsidRDefault="009A4088" w:rsidP="00A6224C">
      <w:pPr>
        <w:ind w:left="-709" w:right="-705" w:firstLine="284"/>
        <w:jc w:val="both"/>
        <w:rPr>
          <w:rFonts w:asciiTheme="majorBidi" w:hAnsiTheme="majorBidi" w:cstheme="majorBidi"/>
          <w:b/>
          <w:bCs/>
          <w:sz w:val="36"/>
          <w:szCs w:val="36"/>
        </w:rPr>
      </w:pPr>
      <w:r w:rsidRPr="009A4088">
        <w:rPr>
          <w:rFonts w:asciiTheme="majorBidi" w:hAnsiTheme="majorBidi" w:cstheme="majorBidi"/>
          <w:b/>
          <w:bCs/>
          <w:sz w:val="36"/>
          <w:szCs w:val="36"/>
        </w:rPr>
        <w:t>Treatment of NUG:</w:t>
      </w:r>
    </w:p>
    <w:p w14:paraId="432632AD" w14:textId="2B8523B4" w:rsidR="009A4088" w:rsidRPr="009A4088" w:rsidRDefault="009A4088" w:rsidP="00A6224C">
      <w:pPr>
        <w:ind w:left="-709" w:right="-705" w:firstLine="284"/>
        <w:jc w:val="both"/>
        <w:rPr>
          <w:rFonts w:asciiTheme="majorBidi" w:hAnsiTheme="majorBidi" w:cstheme="majorBidi"/>
          <w:sz w:val="32"/>
          <w:szCs w:val="32"/>
        </w:rPr>
      </w:pPr>
      <w:r w:rsidRPr="009A4088">
        <w:rPr>
          <w:rFonts w:asciiTheme="majorBidi" w:hAnsiTheme="majorBidi" w:cstheme="majorBidi"/>
          <w:b/>
          <w:bCs/>
          <w:sz w:val="32"/>
          <w:szCs w:val="32"/>
        </w:rPr>
        <w:t>First Visit</w:t>
      </w:r>
    </w:p>
    <w:p w14:paraId="08E9B998" w14:textId="77777777" w:rsidR="005E0550" w:rsidRDefault="009A4088" w:rsidP="00A6224C">
      <w:pPr>
        <w:pStyle w:val="ListParagraph"/>
        <w:numPr>
          <w:ilvl w:val="0"/>
          <w:numId w:val="8"/>
        </w:numPr>
        <w:ind w:left="-709" w:right="-705" w:firstLine="284"/>
        <w:jc w:val="both"/>
        <w:rPr>
          <w:rFonts w:asciiTheme="majorBidi" w:hAnsiTheme="majorBidi" w:cstheme="majorBidi"/>
          <w:sz w:val="32"/>
          <w:szCs w:val="32"/>
        </w:rPr>
      </w:pPr>
      <w:r w:rsidRPr="005E0550">
        <w:rPr>
          <w:rFonts w:asciiTheme="majorBidi" w:hAnsiTheme="majorBidi" w:cstheme="majorBidi"/>
          <w:sz w:val="32"/>
          <w:szCs w:val="32"/>
        </w:rPr>
        <w:t xml:space="preserve">At the first visit, the clinician should obtain a general impression of the patient's background, including information regarding recent illness, living conditions, dietary background, type of employment, hours of rest, and mental stress. </w:t>
      </w:r>
    </w:p>
    <w:p w14:paraId="3F1A02F0" w14:textId="77777777" w:rsidR="005E0550" w:rsidRDefault="009A4088" w:rsidP="00A6224C">
      <w:pPr>
        <w:pStyle w:val="ListParagraph"/>
        <w:numPr>
          <w:ilvl w:val="0"/>
          <w:numId w:val="8"/>
        </w:numPr>
        <w:ind w:left="-709" w:right="-705" w:firstLine="284"/>
        <w:jc w:val="both"/>
        <w:rPr>
          <w:rFonts w:asciiTheme="majorBidi" w:hAnsiTheme="majorBidi" w:cstheme="majorBidi"/>
          <w:sz w:val="32"/>
          <w:szCs w:val="32"/>
        </w:rPr>
      </w:pPr>
      <w:r w:rsidRPr="005E0550">
        <w:rPr>
          <w:rFonts w:asciiTheme="majorBidi" w:hAnsiTheme="majorBidi" w:cstheme="majorBidi"/>
          <w:sz w:val="32"/>
          <w:szCs w:val="32"/>
        </w:rPr>
        <w:t xml:space="preserve">The patient's general appearance should be observed, as well as apparent nutritional status and responsiveness or lassitude, and his or her temperature should be taken. </w:t>
      </w:r>
    </w:p>
    <w:p w14:paraId="4B91397F" w14:textId="77777777" w:rsidR="005E0550" w:rsidRDefault="009A4088" w:rsidP="00A6224C">
      <w:pPr>
        <w:pStyle w:val="ListParagraph"/>
        <w:numPr>
          <w:ilvl w:val="0"/>
          <w:numId w:val="8"/>
        </w:numPr>
        <w:ind w:left="-709" w:right="-705" w:firstLine="284"/>
        <w:jc w:val="both"/>
        <w:rPr>
          <w:rFonts w:asciiTheme="majorBidi" w:hAnsiTheme="majorBidi" w:cstheme="majorBidi"/>
          <w:sz w:val="32"/>
          <w:szCs w:val="32"/>
        </w:rPr>
      </w:pPr>
      <w:r w:rsidRPr="005E0550">
        <w:rPr>
          <w:rFonts w:asciiTheme="majorBidi" w:hAnsiTheme="majorBidi" w:cstheme="majorBidi"/>
          <w:sz w:val="32"/>
          <w:szCs w:val="32"/>
        </w:rPr>
        <w:t>The submaxillary and submental areas should be palpated to detect enlarged lymph glands.</w:t>
      </w:r>
    </w:p>
    <w:p w14:paraId="55C88843" w14:textId="77777777" w:rsidR="005E0550" w:rsidRDefault="009A4088" w:rsidP="00A6224C">
      <w:pPr>
        <w:pStyle w:val="ListParagraph"/>
        <w:numPr>
          <w:ilvl w:val="0"/>
          <w:numId w:val="8"/>
        </w:numPr>
        <w:ind w:left="-709" w:right="-705" w:firstLine="284"/>
        <w:jc w:val="both"/>
        <w:rPr>
          <w:rFonts w:asciiTheme="majorBidi" w:hAnsiTheme="majorBidi" w:cstheme="majorBidi"/>
          <w:sz w:val="32"/>
          <w:szCs w:val="32"/>
        </w:rPr>
      </w:pPr>
      <w:r w:rsidRPr="005E0550">
        <w:rPr>
          <w:rFonts w:asciiTheme="majorBidi" w:hAnsiTheme="majorBidi" w:cstheme="majorBidi"/>
          <w:sz w:val="32"/>
          <w:szCs w:val="32"/>
        </w:rPr>
        <w:t xml:space="preserve">Treatment during this initial visit is confined to the acutely involved areas, which are isolated with cotton rolls and dried. A topical anesthesia is applied, and after 2 or 3 minutes the areas are gently swabbed with a cotton pellet to remove the pseudomembrane and nonattached surface </w:t>
      </w:r>
      <w:r w:rsidR="005E0550" w:rsidRPr="005E0550">
        <w:rPr>
          <w:rFonts w:asciiTheme="majorBidi" w:hAnsiTheme="majorBidi" w:cstheme="majorBidi"/>
          <w:sz w:val="32"/>
          <w:szCs w:val="32"/>
        </w:rPr>
        <w:t>debris. Each</w:t>
      </w:r>
      <w:r w:rsidRPr="005E0550">
        <w:rPr>
          <w:rFonts w:asciiTheme="majorBidi" w:hAnsiTheme="majorBidi" w:cstheme="majorBidi"/>
          <w:sz w:val="32"/>
          <w:szCs w:val="32"/>
        </w:rPr>
        <w:t xml:space="preserve"> cotton pellet is used in a small area and is then discarded; sweeping motions over large areas with a single pellet are not recommended. </w:t>
      </w:r>
    </w:p>
    <w:p w14:paraId="44C6700E" w14:textId="77777777" w:rsidR="00D5514F" w:rsidRDefault="009A4088" w:rsidP="00A6224C">
      <w:pPr>
        <w:pStyle w:val="ListParagraph"/>
        <w:numPr>
          <w:ilvl w:val="0"/>
          <w:numId w:val="8"/>
        </w:numPr>
        <w:ind w:left="-709" w:right="-705" w:firstLine="284"/>
        <w:jc w:val="both"/>
        <w:rPr>
          <w:rFonts w:asciiTheme="majorBidi" w:hAnsiTheme="majorBidi" w:cstheme="majorBidi"/>
          <w:sz w:val="32"/>
          <w:szCs w:val="32"/>
        </w:rPr>
      </w:pPr>
      <w:r w:rsidRPr="005E0550">
        <w:rPr>
          <w:rFonts w:asciiTheme="majorBidi" w:hAnsiTheme="majorBidi" w:cstheme="majorBidi"/>
          <w:sz w:val="32"/>
          <w:szCs w:val="32"/>
        </w:rPr>
        <w:lastRenderedPageBreak/>
        <w:t>After the area is cleansed with warm water, the superficial calculus is removed. Ultrasonic scalers are very useful for this purpose, since they do not elicit pain, and the water jet aids in the lavage of the area.</w:t>
      </w:r>
    </w:p>
    <w:p w14:paraId="69762661" w14:textId="41430FEB" w:rsidR="009A4088" w:rsidRPr="00D5514F" w:rsidRDefault="009A4088" w:rsidP="00A6224C">
      <w:pPr>
        <w:pStyle w:val="ListParagraph"/>
        <w:numPr>
          <w:ilvl w:val="0"/>
          <w:numId w:val="8"/>
        </w:numPr>
        <w:ind w:left="-709" w:right="-705" w:firstLine="284"/>
        <w:jc w:val="both"/>
        <w:rPr>
          <w:rFonts w:asciiTheme="majorBidi" w:hAnsiTheme="majorBidi" w:cstheme="majorBidi"/>
          <w:sz w:val="32"/>
          <w:szCs w:val="32"/>
        </w:rPr>
      </w:pPr>
      <w:r w:rsidRPr="00D5514F">
        <w:rPr>
          <w:rFonts w:asciiTheme="majorBidi" w:hAnsiTheme="majorBidi" w:cstheme="majorBidi"/>
          <w:sz w:val="32"/>
          <w:szCs w:val="32"/>
        </w:rPr>
        <w:t xml:space="preserve">Subgingival scaling and curettage are contraindicated at this time because of the possibility of extending the infection to deeper tissues, and also of causing a bacteremia. </w:t>
      </w:r>
    </w:p>
    <w:p w14:paraId="379AF4AF" w14:textId="77777777" w:rsidR="00D5514F" w:rsidRDefault="00D5514F" w:rsidP="00A6224C">
      <w:pPr>
        <w:ind w:left="-709" w:right="-705" w:firstLine="284"/>
        <w:jc w:val="both"/>
        <w:rPr>
          <w:rFonts w:asciiTheme="majorBidi" w:hAnsiTheme="majorBidi" w:cstheme="majorBidi"/>
          <w:sz w:val="32"/>
          <w:szCs w:val="32"/>
        </w:rPr>
      </w:pPr>
    </w:p>
    <w:p w14:paraId="228CFB86" w14:textId="77777777" w:rsidR="00D5514F" w:rsidRDefault="009A4088" w:rsidP="00A6224C">
      <w:pPr>
        <w:ind w:left="-709" w:right="-705" w:firstLine="284"/>
        <w:jc w:val="both"/>
        <w:rPr>
          <w:rFonts w:asciiTheme="majorBidi" w:hAnsiTheme="majorBidi" w:cstheme="majorBidi"/>
          <w:sz w:val="32"/>
          <w:szCs w:val="32"/>
        </w:rPr>
      </w:pPr>
      <w:r w:rsidRPr="009A4088">
        <w:rPr>
          <w:rFonts w:asciiTheme="majorBidi" w:hAnsiTheme="majorBidi" w:cstheme="majorBidi"/>
          <w:sz w:val="32"/>
          <w:szCs w:val="32"/>
        </w:rPr>
        <w:t>Unless an emergency exists, procedures such as extractions or periodontal surgery are postponed until the patient has been symptom free for a period of 4 weeks, to minimize the likelihood of exacerbating the acute symptoms</w:t>
      </w:r>
      <w:r>
        <w:rPr>
          <w:rFonts w:asciiTheme="majorBidi" w:hAnsiTheme="majorBidi" w:cstheme="majorBidi"/>
          <w:sz w:val="32"/>
          <w:szCs w:val="32"/>
        </w:rPr>
        <w:t>.</w:t>
      </w:r>
    </w:p>
    <w:p w14:paraId="44EB4488" w14:textId="77777777" w:rsidR="00D5514F" w:rsidRDefault="004A1839" w:rsidP="00A6224C">
      <w:pPr>
        <w:pStyle w:val="ListParagraph"/>
        <w:numPr>
          <w:ilvl w:val="0"/>
          <w:numId w:val="9"/>
        </w:numPr>
        <w:ind w:left="-709" w:right="-705" w:firstLine="284"/>
        <w:jc w:val="both"/>
        <w:rPr>
          <w:rFonts w:asciiTheme="majorBidi" w:hAnsiTheme="majorBidi" w:cstheme="majorBidi"/>
          <w:sz w:val="32"/>
          <w:szCs w:val="32"/>
        </w:rPr>
      </w:pPr>
      <w:r w:rsidRPr="00D5514F">
        <w:rPr>
          <w:rFonts w:asciiTheme="majorBidi" w:hAnsiTheme="majorBidi" w:cstheme="majorBidi"/>
          <w:sz w:val="32"/>
          <w:szCs w:val="32"/>
        </w:rPr>
        <w:t>The patient is also told to rinse the mouth every 2 hours with a glassful of an equal mixture of warm water and 3% hydrogen peroxide. Twice-daily rinses with 0.12% chlorhexidine are also very effective.</w:t>
      </w:r>
      <w:r w:rsidR="00E22A8D" w:rsidRPr="00D5514F">
        <w:rPr>
          <w:rFonts w:ascii="Calibri" w:eastAsia="+mn-ea" w:hAnsi="Calibri" w:cs="Arial"/>
          <w:color w:val="000000"/>
          <w:kern w:val="24"/>
          <w:sz w:val="56"/>
          <w:szCs w:val="56"/>
        </w:rPr>
        <w:t xml:space="preserve"> </w:t>
      </w:r>
      <w:r w:rsidR="00E22A8D" w:rsidRPr="00D5514F">
        <w:rPr>
          <w:rFonts w:asciiTheme="majorBidi" w:hAnsiTheme="majorBidi" w:cstheme="majorBidi"/>
          <w:sz w:val="32"/>
          <w:szCs w:val="32"/>
        </w:rPr>
        <w:t>Pursue usual activities, but avoid excessive physical exertion or prolonged exposure to the sun as required in golf, tennis, swimming, or sunbathing.</w:t>
      </w:r>
      <w:r w:rsidR="00E22A8D" w:rsidRPr="00D5514F">
        <w:rPr>
          <w:rFonts w:ascii="Calibri" w:eastAsia="+mn-ea" w:hAnsi="Calibri" w:cs="Arial"/>
          <w:color w:val="000000"/>
          <w:kern w:val="24"/>
          <w:sz w:val="56"/>
          <w:szCs w:val="56"/>
        </w:rPr>
        <w:t xml:space="preserve"> </w:t>
      </w:r>
      <w:r w:rsidR="009604F4" w:rsidRPr="00D5514F">
        <w:rPr>
          <w:rFonts w:asciiTheme="majorBidi" w:hAnsiTheme="majorBidi" w:cstheme="majorBidi"/>
          <w:sz w:val="32"/>
          <w:szCs w:val="32"/>
        </w:rPr>
        <w:t>Avoid tobacco, alcohol, and condiments.</w:t>
      </w:r>
      <w:r w:rsidR="00E22A8D" w:rsidRPr="00D5514F">
        <w:rPr>
          <w:rFonts w:asciiTheme="majorBidi" w:hAnsiTheme="majorBidi" w:cstheme="majorBidi"/>
          <w:sz w:val="32"/>
          <w:szCs w:val="32"/>
        </w:rPr>
        <w:t xml:space="preserve"> Confine tooth brushing to the removal of surface debris with a bland dentifrice; overzealous brushing and the use of dental floss or interdental cleaners will be painful. </w:t>
      </w:r>
    </w:p>
    <w:p w14:paraId="71359A45" w14:textId="77777777" w:rsidR="00D5514F" w:rsidRDefault="00D5514F" w:rsidP="00A6224C">
      <w:pPr>
        <w:pStyle w:val="ListParagraph"/>
        <w:ind w:left="-709" w:right="-705" w:firstLine="284"/>
        <w:jc w:val="both"/>
        <w:rPr>
          <w:rFonts w:asciiTheme="majorBidi" w:hAnsiTheme="majorBidi" w:cstheme="majorBidi"/>
          <w:sz w:val="32"/>
          <w:szCs w:val="32"/>
        </w:rPr>
      </w:pPr>
    </w:p>
    <w:p w14:paraId="46DE7A10" w14:textId="10B0FF0F" w:rsidR="004A1839" w:rsidRPr="00D5514F" w:rsidRDefault="004A1839" w:rsidP="00A6224C">
      <w:pPr>
        <w:pStyle w:val="ListParagraph"/>
        <w:numPr>
          <w:ilvl w:val="0"/>
          <w:numId w:val="9"/>
        </w:numPr>
        <w:ind w:left="-709" w:right="-705" w:firstLine="284"/>
        <w:jc w:val="both"/>
        <w:rPr>
          <w:rFonts w:asciiTheme="majorBidi" w:hAnsiTheme="majorBidi" w:cstheme="majorBidi"/>
          <w:sz w:val="32"/>
          <w:szCs w:val="32"/>
        </w:rPr>
      </w:pPr>
      <w:r w:rsidRPr="00D5514F">
        <w:rPr>
          <w:rFonts w:asciiTheme="majorBidi" w:hAnsiTheme="majorBidi" w:cstheme="majorBidi"/>
          <w:sz w:val="32"/>
          <w:szCs w:val="32"/>
        </w:rPr>
        <w:t>Patients with moderate or severe NUG and local lymphadenopathy or other systemic symptoms are placed on an antibiotic regimen of penicillin, 500 mg orally every 6 hours.</w:t>
      </w:r>
    </w:p>
    <w:p w14:paraId="559EC86E" w14:textId="1D5A20B0" w:rsidR="00D5514F" w:rsidRDefault="00D5514F" w:rsidP="00A6224C">
      <w:pPr>
        <w:ind w:left="-709" w:right="-705" w:firstLine="284"/>
        <w:jc w:val="both"/>
        <w:rPr>
          <w:rFonts w:asciiTheme="majorBidi" w:hAnsiTheme="majorBidi" w:cstheme="majorBidi"/>
          <w:sz w:val="32"/>
          <w:szCs w:val="32"/>
        </w:rPr>
      </w:pPr>
      <w:r>
        <w:rPr>
          <w:rFonts w:asciiTheme="majorBidi" w:hAnsiTheme="majorBidi" w:cstheme="majorBidi"/>
          <w:sz w:val="32"/>
          <w:szCs w:val="32"/>
        </w:rPr>
        <w:t>-</w:t>
      </w:r>
      <w:r w:rsidR="004A1839" w:rsidRPr="004A1839">
        <w:rPr>
          <w:rFonts w:asciiTheme="majorBidi" w:hAnsiTheme="majorBidi" w:cstheme="majorBidi"/>
          <w:sz w:val="32"/>
          <w:szCs w:val="32"/>
        </w:rPr>
        <w:t>For penicillin-sensitive patients, other antibiotics, such as erythromycin (500 mg every 6 hours</w:t>
      </w:r>
      <w:r w:rsidR="00CC03BD">
        <w:rPr>
          <w:rFonts w:asciiTheme="majorBidi" w:hAnsiTheme="majorBidi" w:cstheme="majorBidi"/>
          <w:sz w:val="32"/>
          <w:szCs w:val="32"/>
        </w:rPr>
        <w:t>)</w:t>
      </w:r>
      <w:r w:rsidR="004A1839" w:rsidRPr="004A1839">
        <w:rPr>
          <w:rFonts w:asciiTheme="majorBidi" w:hAnsiTheme="majorBidi" w:cstheme="majorBidi"/>
          <w:sz w:val="32"/>
          <w:szCs w:val="32"/>
        </w:rPr>
        <w:t xml:space="preserve"> are prescribed. Metronidazole (500 mg twice times daily for 7 days), is also effective. Antibiotics are continued until the systemic complications or the local lymphadenopathy have </w:t>
      </w:r>
      <w:r w:rsidR="0016239B" w:rsidRPr="004A1839">
        <w:rPr>
          <w:rFonts w:asciiTheme="majorBidi" w:hAnsiTheme="majorBidi" w:cstheme="majorBidi"/>
          <w:sz w:val="32"/>
          <w:szCs w:val="32"/>
        </w:rPr>
        <w:t>subsided.</w:t>
      </w:r>
      <w:r w:rsidR="0016239B" w:rsidRPr="00B27F5C">
        <w:rPr>
          <w:rFonts w:asciiTheme="majorBidi" w:hAnsiTheme="majorBidi" w:cstheme="majorBidi"/>
          <w:sz w:val="32"/>
          <w:szCs w:val="32"/>
        </w:rPr>
        <w:t xml:space="preserve"> When</w:t>
      </w:r>
      <w:r w:rsidR="00B27F5C" w:rsidRPr="00B27F5C">
        <w:rPr>
          <w:rFonts w:asciiTheme="majorBidi" w:hAnsiTheme="majorBidi" w:cstheme="majorBidi"/>
          <w:sz w:val="32"/>
          <w:szCs w:val="32"/>
        </w:rPr>
        <w:t xml:space="preserve"> used, systemic antibiotics also reduce the oral bacterial flora and alleviate the oral symptoms, but they are only an adjunct to the complete local</w:t>
      </w:r>
      <w:r w:rsidR="00700DD3">
        <w:rPr>
          <w:rFonts w:asciiTheme="majorBidi" w:hAnsiTheme="majorBidi" w:cstheme="majorBidi"/>
          <w:sz w:val="32"/>
          <w:szCs w:val="32"/>
        </w:rPr>
        <w:t xml:space="preserve"> treatment </w:t>
      </w:r>
    </w:p>
    <w:p w14:paraId="755E20DF" w14:textId="7AD4ED41" w:rsidR="00BB0015" w:rsidRPr="00D5514F" w:rsidRDefault="00BB0015" w:rsidP="00A6224C">
      <w:pPr>
        <w:pStyle w:val="ListParagraph"/>
        <w:numPr>
          <w:ilvl w:val="0"/>
          <w:numId w:val="9"/>
        </w:numPr>
        <w:ind w:left="-709" w:right="-705" w:firstLine="284"/>
        <w:jc w:val="both"/>
        <w:rPr>
          <w:rFonts w:asciiTheme="majorBidi" w:hAnsiTheme="majorBidi" w:cstheme="majorBidi"/>
          <w:sz w:val="32"/>
          <w:szCs w:val="32"/>
        </w:rPr>
      </w:pPr>
      <w:r w:rsidRPr="00D5514F">
        <w:rPr>
          <w:rFonts w:asciiTheme="majorBidi" w:hAnsiTheme="majorBidi" w:cstheme="majorBidi"/>
          <w:sz w:val="32"/>
          <w:szCs w:val="32"/>
        </w:rPr>
        <w:t xml:space="preserve">Patients are told to report back to the clinician in 1 to 2 days. The patient should be advised of the extent of total treatment the condition requires and warned that treatment is not complete when pain stops. </w:t>
      </w:r>
    </w:p>
    <w:p w14:paraId="37200ED0" w14:textId="77777777" w:rsidR="003F38F8" w:rsidRDefault="00BB0015" w:rsidP="00A6224C">
      <w:pPr>
        <w:ind w:left="-709" w:right="-705" w:firstLine="284"/>
        <w:jc w:val="both"/>
        <w:rPr>
          <w:rFonts w:asciiTheme="majorBidi" w:hAnsiTheme="majorBidi" w:cstheme="majorBidi"/>
          <w:sz w:val="32"/>
          <w:szCs w:val="32"/>
        </w:rPr>
      </w:pPr>
      <w:r w:rsidRPr="00BB0015">
        <w:rPr>
          <w:rFonts w:asciiTheme="majorBidi" w:hAnsiTheme="majorBidi" w:cstheme="majorBidi"/>
          <w:sz w:val="32"/>
          <w:szCs w:val="32"/>
        </w:rPr>
        <w:t>He or she should be informed of the presence of chronic gingival or periodontal disease, which must be eliminated to prevent recurrence of the acute symptoms.</w:t>
      </w:r>
    </w:p>
    <w:p w14:paraId="01B0FE93" w14:textId="77777777" w:rsidR="00D5514F" w:rsidRDefault="00D5514F" w:rsidP="00A6224C">
      <w:pPr>
        <w:ind w:left="-709" w:right="-705" w:firstLine="284"/>
        <w:jc w:val="both"/>
        <w:rPr>
          <w:rFonts w:asciiTheme="majorBidi" w:hAnsiTheme="majorBidi" w:cstheme="majorBidi"/>
          <w:b/>
          <w:bCs/>
          <w:sz w:val="36"/>
          <w:szCs w:val="36"/>
        </w:rPr>
      </w:pPr>
    </w:p>
    <w:p w14:paraId="25F03C16" w14:textId="77777777" w:rsidR="006F437E" w:rsidRDefault="006F437E" w:rsidP="00A6224C">
      <w:pPr>
        <w:ind w:left="-709" w:right="-705" w:firstLine="284"/>
        <w:jc w:val="both"/>
        <w:rPr>
          <w:rFonts w:asciiTheme="majorBidi" w:hAnsiTheme="majorBidi" w:cstheme="majorBidi"/>
          <w:b/>
          <w:bCs/>
          <w:sz w:val="36"/>
          <w:szCs w:val="36"/>
        </w:rPr>
      </w:pPr>
    </w:p>
    <w:p w14:paraId="63E50885" w14:textId="4DE35993" w:rsidR="00AB1AA6" w:rsidRPr="00AB1AA6" w:rsidRDefault="00AB1AA6" w:rsidP="00A6224C">
      <w:pPr>
        <w:ind w:left="-709" w:right="-705" w:firstLine="284"/>
        <w:jc w:val="both"/>
        <w:rPr>
          <w:rFonts w:asciiTheme="majorBidi" w:hAnsiTheme="majorBidi" w:cstheme="majorBidi"/>
          <w:sz w:val="32"/>
          <w:szCs w:val="32"/>
        </w:rPr>
      </w:pPr>
      <w:r w:rsidRPr="00AB1AA6">
        <w:rPr>
          <w:rFonts w:asciiTheme="majorBidi" w:hAnsiTheme="majorBidi" w:cstheme="majorBidi"/>
          <w:b/>
          <w:bCs/>
          <w:sz w:val="36"/>
          <w:szCs w:val="36"/>
        </w:rPr>
        <w:t>Second Visit</w:t>
      </w:r>
    </w:p>
    <w:p w14:paraId="6484B0AE" w14:textId="644936D7" w:rsidR="00AB1AA6" w:rsidRPr="00D5514F" w:rsidRDefault="00AB1AA6" w:rsidP="00A6224C">
      <w:pPr>
        <w:pStyle w:val="ListParagraph"/>
        <w:numPr>
          <w:ilvl w:val="0"/>
          <w:numId w:val="9"/>
        </w:numPr>
        <w:ind w:left="-709" w:right="-705" w:firstLine="284"/>
        <w:jc w:val="both"/>
        <w:rPr>
          <w:rFonts w:asciiTheme="majorBidi" w:hAnsiTheme="majorBidi" w:cstheme="majorBidi"/>
          <w:sz w:val="32"/>
          <w:szCs w:val="32"/>
        </w:rPr>
      </w:pPr>
      <w:r w:rsidRPr="00D5514F">
        <w:rPr>
          <w:rFonts w:asciiTheme="majorBidi" w:hAnsiTheme="majorBidi" w:cstheme="majorBidi"/>
          <w:sz w:val="32"/>
          <w:szCs w:val="32"/>
        </w:rPr>
        <w:t xml:space="preserve">At the second visit, 1 to 2 days later, the patient's condition is usually improved; the pain is diminished or no longer present. </w:t>
      </w:r>
    </w:p>
    <w:p w14:paraId="212B755F" w14:textId="77777777" w:rsidR="00D5514F" w:rsidRDefault="00AB1AA6" w:rsidP="00A6224C">
      <w:pPr>
        <w:ind w:left="-709" w:right="-705" w:firstLine="284"/>
        <w:jc w:val="both"/>
        <w:rPr>
          <w:rFonts w:asciiTheme="majorBidi" w:hAnsiTheme="majorBidi" w:cstheme="majorBidi"/>
          <w:sz w:val="32"/>
          <w:szCs w:val="32"/>
        </w:rPr>
      </w:pPr>
      <w:r w:rsidRPr="00AB1AA6">
        <w:rPr>
          <w:rFonts w:asciiTheme="majorBidi" w:hAnsiTheme="majorBidi" w:cstheme="majorBidi"/>
          <w:sz w:val="32"/>
          <w:szCs w:val="32"/>
        </w:rPr>
        <w:t>The gingival margins of the involved areas are erythematous, but without a superficial pseudomembrane.</w:t>
      </w:r>
    </w:p>
    <w:p w14:paraId="71D54983" w14:textId="77555F07" w:rsidR="00AB1AA6" w:rsidRPr="00D5514F" w:rsidRDefault="00AB1AA6" w:rsidP="00A6224C">
      <w:pPr>
        <w:pStyle w:val="ListParagraph"/>
        <w:numPr>
          <w:ilvl w:val="0"/>
          <w:numId w:val="9"/>
        </w:numPr>
        <w:ind w:left="-709" w:right="-705" w:firstLine="284"/>
        <w:jc w:val="both"/>
        <w:rPr>
          <w:rFonts w:asciiTheme="majorBidi" w:hAnsiTheme="majorBidi" w:cstheme="majorBidi"/>
          <w:sz w:val="32"/>
          <w:szCs w:val="32"/>
        </w:rPr>
      </w:pPr>
      <w:r w:rsidRPr="00D5514F">
        <w:rPr>
          <w:rFonts w:asciiTheme="majorBidi" w:hAnsiTheme="majorBidi" w:cstheme="majorBidi"/>
          <w:sz w:val="32"/>
          <w:szCs w:val="32"/>
        </w:rPr>
        <w:t xml:space="preserve">Scaling is performed if sensitivity permits. Shrinkage of the gingiva may expose previously covered calculus, which is gently removed. </w:t>
      </w:r>
    </w:p>
    <w:p w14:paraId="1E721DCE" w14:textId="089FF090" w:rsidR="00AB1AA6" w:rsidRPr="00D5514F" w:rsidRDefault="00AB1AA6" w:rsidP="00A6224C">
      <w:pPr>
        <w:pStyle w:val="ListParagraph"/>
        <w:numPr>
          <w:ilvl w:val="0"/>
          <w:numId w:val="9"/>
        </w:numPr>
        <w:ind w:left="-709" w:right="-705" w:firstLine="284"/>
        <w:jc w:val="both"/>
        <w:rPr>
          <w:rFonts w:asciiTheme="majorBidi" w:hAnsiTheme="majorBidi" w:cstheme="majorBidi"/>
          <w:sz w:val="32"/>
          <w:szCs w:val="32"/>
        </w:rPr>
      </w:pPr>
      <w:r w:rsidRPr="00D5514F">
        <w:rPr>
          <w:rFonts w:asciiTheme="majorBidi" w:hAnsiTheme="majorBidi" w:cstheme="majorBidi"/>
          <w:sz w:val="32"/>
          <w:szCs w:val="32"/>
        </w:rPr>
        <w:t>The instructions to the patient are the same as those given previously.</w:t>
      </w:r>
    </w:p>
    <w:p w14:paraId="77C46CAD" w14:textId="77777777" w:rsidR="00D5514F" w:rsidRDefault="00D5514F" w:rsidP="00A6224C">
      <w:pPr>
        <w:ind w:left="-709" w:right="-705" w:firstLine="284"/>
        <w:jc w:val="both"/>
        <w:rPr>
          <w:rFonts w:asciiTheme="majorBidi" w:hAnsiTheme="majorBidi" w:cstheme="majorBidi"/>
          <w:b/>
          <w:bCs/>
          <w:sz w:val="36"/>
          <w:szCs w:val="36"/>
        </w:rPr>
      </w:pPr>
    </w:p>
    <w:p w14:paraId="1AEE1B04" w14:textId="0D4DABCC" w:rsidR="00AB1AA6" w:rsidRPr="00AB1AA6" w:rsidRDefault="00AB1AA6" w:rsidP="00A6224C">
      <w:pPr>
        <w:ind w:left="-709" w:right="-705" w:firstLine="284"/>
        <w:jc w:val="both"/>
        <w:rPr>
          <w:rFonts w:asciiTheme="majorBidi" w:hAnsiTheme="majorBidi" w:cstheme="majorBidi"/>
          <w:sz w:val="36"/>
          <w:szCs w:val="36"/>
        </w:rPr>
      </w:pPr>
      <w:r w:rsidRPr="00AB1AA6">
        <w:rPr>
          <w:rFonts w:asciiTheme="majorBidi" w:hAnsiTheme="majorBidi" w:cstheme="majorBidi"/>
          <w:b/>
          <w:bCs/>
          <w:sz w:val="36"/>
          <w:szCs w:val="36"/>
        </w:rPr>
        <w:t>Third Visit</w:t>
      </w:r>
      <w:r w:rsidRPr="00AB1AA6">
        <w:rPr>
          <w:rFonts w:asciiTheme="majorBidi" w:hAnsiTheme="majorBidi" w:cstheme="majorBidi"/>
          <w:sz w:val="36"/>
          <w:szCs w:val="36"/>
        </w:rPr>
        <w:t>.</w:t>
      </w:r>
    </w:p>
    <w:p w14:paraId="4DE431B0" w14:textId="77777777" w:rsidR="00D5514F" w:rsidRDefault="00AB1AA6" w:rsidP="00A6224C">
      <w:pPr>
        <w:pStyle w:val="ListParagraph"/>
        <w:numPr>
          <w:ilvl w:val="0"/>
          <w:numId w:val="10"/>
        </w:numPr>
        <w:ind w:left="-709" w:right="-705" w:firstLine="284"/>
        <w:jc w:val="both"/>
        <w:rPr>
          <w:rFonts w:asciiTheme="majorBidi" w:hAnsiTheme="majorBidi" w:cstheme="majorBidi"/>
          <w:sz w:val="32"/>
          <w:szCs w:val="32"/>
        </w:rPr>
      </w:pPr>
      <w:r w:rsidRPr="00D5514F">
        <w:rPr>
          <w:rFonts w:asciiTheme="majorBidi" w:hAnsiTheme="majorBidi" w:cstheme="majorBidi"/>
          <w:sz w:val="32"/>
          <w:szCs w:val="32"/>
        </w:rPr>
        <w:t>At the next visit, 1 to 2 days after the second, the patient should be essentially symptom</w:t>
      </w:r>
      <w:r w:rsidR="0003633F" w:rsidRPr="00D5514F">
        <w:rPr>
          <w:rFonts w:asciiTheme="majorBidi" w:hAnsiTheme="majorBidi" w:cstheme="majorBidi"/>
          <w:sz w:val="32"/>
          <w:szCs w:val="32"/>
        </w:rPr>
        <w:t>s</w:t>
      </w:r>
      <w:r w:rsidRPr="00D5514F">
        <w:rPr>
          <w:rFonts w:asciiTheme="majorBidi" w:hAnsiTheme="majorBidi" w:cstheme="majorBidi"/>
          <w:sz w:val="32"/>
          <w:szCs w:val="32"/>
        </w:rPr>
        <w:t xml:space="preserve"> free. There may still be some erythema in the involved areas, and the gingiva may be slightly painful on tactile stimulation </w:t>
      </w:r>
    </w:p>
    <w:p w14:paraId="517D4EDD" w14:textId="77777777" w:rsidR="00D5514F" w:rsidRDefault="00AB1AA6" w:rsidP="00A6224C">
      <w:pPr>
        <w:pStyle w:val="ListParagraph"/>
        <w:numPr>
          <w:ilvl w:val="0"/>
          <w:numId w:val="10"/>
        </w:numPr>
        <w:ind w:left="-709" w:right="-705" w:firstLine="284"/>
        <w:jc w:val="both"/>
        <w:rPr>
          <w:rFonts w:asciiTheme="majorBidi" w:hAnsiTheme="majorBidi" w:cstheme="majorBidi"/>
          <w:sz w:val="32"/>
          <w:szCs w:val="32"/>
        </w:rPr>
      </w:pPr>
      <w:r w:rsidRPr="00D5514F">
        <w:rPr>
          <w:rFonts w:asciiTheme="majorBidi" w:hAnsiTheme="majorBidi" w:cstheme="majorBidi"/>
          <w:sz w:val="32"/>
          <w:szCs w:val="32"/>
        </w:rPr>
        <w:t>Scaling and root planing are repeated.</w:t>
      </w:r>
    </w:p>
    <w:p w14:paraId="17E9035B" w14:textId="5EA094E7" w:rsidR="00AB1AA6" w:rsidRPr="00D5514F" w:rsidRDefault="00AB1AA6" w:rsidP="00A6224C">
      <w:pPr>
        <w:pStyle w:val="ListParagraph"/>
        <w:numPr>
          <w:ilvl w:val="0"/>
          <w:numId w:val="10"/>
        </w:numPr>
        <w:ind w:left="-709" w:right="-705" w:firstLine="284"/>
        <w:jc w:val="both"/>
        <w:rPr>
          <w:rFonts w:asciiTheme="majorBidi" w:hAnsiTheme="majorBidi" w:cstheme="majorBidi"/>
          <w:sz w:val="32"/>
          <w:szCs w:val="32"/>
        </w:rPr>
      </w:pPr>
      <w:r w:rsidRPr="00D5514F">
        <w:rPr>
          <w:rFonts w:asciiTheme="majorBidi" w:hAnsiTheme="majorBidi" w:cstheme="majorBidi"/>
          <w:sz w:val="32"/>
          <w:szCs w:val="32"/>
        </w:rPr>
        <w:t>The patient is instructed in plaque control procedures which are essential for the success of the treatment and the maintenance of periodontal health. The hydrogen peroxide rinses are discontinued, but chlorhexidine rinses can be maintained for two or three weeks.</w:t>
      </w:r>
    </w:p>
    <w:p w14:paraId="4781B271" w14:textId="77777777" w:rsidR="00FB0B41" w:rsidRDefault="00FB0B41" w:rsidP="00A6224C">
      <w:pPr>
        <w:ind w:left="-709" w:right="-705" w:firstLine="284"/>
        <w:jc w:val="both"/>
        <w:rPr>
          <w:rFonts w:asciiTheme="majorBidi" w:hAnsiTheme="majorBidi" w:cstheme="majorBidi"/>
          <w:sz w:val="32"/>
          <w:szCs w:val="32"/>
        </w:rPr>
      </w:pPr>
    </w:p>
    <w:p w14:paraId="55A76746" w14:textId="77777777" w:rsidR="0088027A" w:rsidRPr="0088027A" w:rsidRDefault="0088027A" w:rsidP="00A6224C">
      <w:pPr>
        <w:ind w:left="-709" w:right="-705" w:firstLine="284"/>
        <w:jc w:val="both"/>
        <w:rPr>
          <w:rFonts w:asciiTheme="majorBidi" w:hAnsiTheme="majorBidi" w:cstheme="majorBidi"/>
          <w:sz w:val="32"/>
          <w:szCs w:val="32"/>
        </w:rPr>
      </w:pPr>
      <w:r w:rsidRPr="0088027A">
        <w:rPr>
          <w:rFonts w:asciiTheme="majorBidi" w:hAnsiTheme="majorBidi" w:cstheme="majorBidi"/>
          <w:b/>
          <w:bCs/>
          <w:sz w:val="36"/>
          <w:szCs w:val="36"/>
        </w:rPr>
        <w:t>Subsequent Visits</w:t>
      </w:r>
      <w:r w:rsidRPr="0088027A">
        <w:rPr>
          <w:rFonts w:asciiTheme="majorBidi" w:hAnsiTheme="majorBidi" w:cstheme="majorBidi"/>
          <w:sz w:val="36"/>
          <w:szCs w:val="36"/>
        </w:rPr>
        <w:t xml:space="preserve">. </w:t>
      </w:r>
    </w:p>
    <w:p w14:paraId="1231DA8C" w14:textId="77777777" w:rsidR="0088027A" w:rsidRDefault="0088027A" w:rsidP="00A6224C">
      <w:pPr>
        <w:ind w:left="-709" w:right="-705" w:firstLine="284"/>
        <w:jc w:val="both"/>
        <w:rPr>
          <w:rFonts w:asciiTheme="majorBidi" w:hAnsiTheme="majorBidi" w:cstheme="majorBidi"/>
          <w:sz w:val="32"/>
          <w:szCs w:val="32"/>
        </w:rPr>
      </w:pPr>
      <w:r w:rsidRPr="0088027A">
        <w:rPr>
          <w:rFonts w:asciiTheme="majorBidi" w:hAnsiTheme="majorBidi" w:cstheme="majorBidi"/>
          <w:sz w:val="32"/>
          <w:szCs w:val="32"/>
        </w:rPr>
        <w:t>Unfortunately, treatment is often stopped at this time because the acute condition has subsided, but this is when comprehensive treatment of the patient's chronic periodontal problem should start.</w:t>
      </w:r>
    </w:p>
    <w:p w14:paraId="5FADC6F0" w14:textId="77777777" w:rsidR="00D5514F" w:rsidRDefault="0088027A" w:rsidP="00A6224C">
      <w:pPr>
        <w:pStyle w:val="ListParagraph"/>
        <w:numPr>
          <w:ilvl w:val="0"/>
          <w:numId w:val="12"/>
        </w:numPr>
        <w:ind w:left="-709" w:right="-705" w:firstLine="284"/>
        <w:jc w:val="both"/>
        <w:rPr>
          <w:rFonts w:asciiTheme="majorBidi" w:hAnsiTheme="majorBidi" w:cstheme="majorBidi"/>
          <w:sz w:val="32"/>
          <w:szCs w:val="32"/>
        </w:rPr>
      </w:pPr>
      <w:r w:rsidRPr="00D5514F">
        <w:rPr>
          <w:rFonts w:asciiTheme="majorBidi" w:hAnsiTheme="majorBidi" w:cstheme="majorBidi"/>
          <w:sz w:val="32"/>
          <w:szCs w:val="32"/>
        </w:rPr>
        <w:t>In subsequent visits, the tooth surfaces in the involved areas are scaled and smoothed, and plaque control by the patient is checked and corrected if necessary.</w:t>
      </w:r>
    </w:p>
    <w:p w14:paraId="5FC75D34" w14:textId="57EFB478" w:rsidR="00D5514F" w:rsidRPr="006F437E" w:rsidRDefault="0088027A" w:rsidP="00A6224C">
      <w:pPr>
        <w:pStyle w:val="ListParagraph"/>
        <w:numPr>
          <w:ilvl w:val="0"/>
          <w:numId w:val="12"/>
        </w:numPr>
        <w:ind w:left="-709" w:right="-705" w:firstLine="284"/>
        <w:jc w:val="both"/>
        <w:rPr>
          <w:rFonts w:asciiTheme="majorBidi" w:hAnsiTheme="majorBidi" w:cstheme="majorBidi"/>
          <w:sz w:val="32"/>
          <w:szCs w:val="32"/>
        </w:rPr>
      </w:pPr>
      <w:r w:rsidRPr="00D5514F">
        <w:rPr>
          <w:rFonts w:asciiTheme="majorBidi" w:hAnsiTheme="majorBidi" w:cstheme="majorBidi"/>
          <w:sz w:val="32"/>
          <w:szCs w:val="32"/>
        </w:rPr>
        <w:t>Appointments are scheduled for the treatment of chronic gingivitis, periodontal pockets, and pericoronal flaps, as well as for the elimination of all forms of local irritation.</w:t>
      </w:r>
    </w:p>
    <w:p w14:paraId="46CE3F96" w14:textId="566B28ED" w:rsidR="0088027A" w:rsidRPr="0088027A" w:rsidRDefault="0088027A" w:rsidP="00A6224C">
      <w:pPr>
        <w:ind w:left="-709" w:right="-705" w:firstLine="284"/>
        <w:jc w:val="both"/>
        <w:rPr>
          <w:rFonts w:asciiTheme="majorBidi" w:hAnsiTheme="majorBidi" w:cstheme="majorBidi"/>
          <w:sz w:val="32"/>
          <w:szCs w:val="32"/>
        </w:rPr>
      </w:pPr>
      <w:r w:rsidRPr="0088027A">
        <w:rPr>
          <w:rFonts w:asciiTheme="majorBidi" w:hAnsiTheme="majorBidi" w:cstheme="majorBidi"/>
          <w:sz w:val="32"/>
          <w:szCs w:val="32"/>
        </w:rPr>
        <w:lastRenderedPageBreak/>
        <w:t>Patients without gingival disease other than the treated acute involvement are dismissed for 1 week.</w:t>
      </w:r>
      <w:r w:rsidR="00D5514F">
        <w:rPr>
          <w:rFonts w:asciiTheme="majorBidi" w:hAnsiTheme="majorBidi" w:cstheme="majorBidi"/>
          <w:sz w:val="32"/>
          <w:szCs w:val="32"/>
        </w:rPr>
        <w:t xml:space="preserve"> </w:t>
      </w:r>
      <w:r w:rsidRPr="0088027A">
        <w:rPr>
          <w:rFonts w:asciiTheme="majorBidi" w:hAnsiTheme="majorBidi" w:cstheme="majorBidi"/>
          <w:sz w:val="32"/>
          <w:szCs w:val="32"/>
        </w:rPr>
        <w:t>If the condition is satisfactory at that time, the patient is dismissed for 1 month, at which time the schedule for subsequent recall visits is determined according to the patient's needs.</w:t>
      </w:r>
    </w:p>
    <w:p w14:paraId="406F1F88" w14:textId="77777777" w:rsidR="0016239B" w:rsidRDefault="0016239B" w:rsidP="00A6224C">
      <w:pPr>
        <w:ind w:left="-709" w:right="-705" w:firstLine="284"/>
        <w:jc w:val="both"/>
        <w:rPr>
          <w:rFonts w:asciiTheme="majorBidi" w:hAnsiTheme="majorBidi" w:cstheme="majorBidi"/>
          <w:sz w:val="32"/>
          <w:szCs w:val="32"/>
        </w:rPr>
      </w:pPr>
    </w:p>
    <w:p w14:paraId="2838121D" w14:textId="77777777" w:rsidR="0016239B" w:rsidRDefault="0016239B" w:rsidP="00A6224C">
      <w:pPr>
        <w:ind w:left="-709" w:right="-705" w:firstLine="284"/>
        <w:jc w:val="both"/>
        <w:rPr>
          <w:rFonts w:asciiTheme="majorBidi" w:hAnsiTheme="majorBidi" w:cstheme="majorBidi"/>
          <w:sz w:val="32"/>
          <w:szCs w:val="32"/>
        </w:rPr>
      </w:pPr>
    </w:p>
    <w:p w14:paraId="62AC935A" w14:textId="77777777" w:rsidR="0016239B" w:rsidRDefault="0016239B" w:rsidP="00A6224C">
      <w:pPr>
        <w:ind w:left="-709" w:right="-705" w:firstLine="284"/>
        <w:jc w:val="both"/>
        <w:rPr>
          <w:rFonts w:asciiTheme="majorBidi" w:hAnsiTheme="majorBidi" w:cstheme="majorBidi"/>
          <w:sz w:val="32"/>
          <w:szCs w:val="32"/>
        </w:rPr>
      </w:pPr>
    </w:p>
    <w:p w14:paraId="705C8A50" w14:textId="77777777" w:rsidR="0016239B" w:rsidRDefault="0016239B" w:rsidP="00A6224C">
      <w:pPr>
        <w:ind w:left="-709" w:right="-705" w:firstLine="284"/>
        <w:jc w:val="both"/>
        <w:rPr>
          <w:rFonts w:asciiTheme="majorBidi" w:hAnsiTheme="majorBidi" w:cstheme="majorBidi"/>
          <w:sz w:val="32"/>
          <w:szCs w:val="32"/>
        </w:rPr>
      </w:pPr>
    </w:p>
    <w:p w14:paraId="259FEF5A" w14:textId="77777777" w:rsidR="0016239B" w:rsidRDefault="0016239B" w:rsidP="00A6224C">
      <w:pPr>
        <w:ind w:left="-709" w:right="-705" w:firstLine="284"/>
        <w:jc w:val="both"/>
        <w:rPr>
          <w:rFonts w:asciiTheme="majorBidi" w:hAnsiTheme="majorBidi" w:cstheme="majorBidi"/>
          <w:sz w:val="32"/>
          <w:szCs w:val="32"/>
        </w:rPr>
      </w:pPr>
    </w:p>
    <w:p w14:paraId="4B56E01F" w14:textId="77777777" w:rsidR="0016239B" w:rsidRDefault="0016239B" w:rsidP="00A6224C">
      <w:pPr>
        <w:ind w:left="-709" w:right="-705" w:firstLine="284"/>
        <w:jc w:val="both"/>
        <w:rPr>
          <w:rFonts w:asciiTheme="majorBidi" w:hAnsiTheme="majorBidi" w:cstheme="majorBidi"/>
          <w:sz w:val="32"/>
          <w:szCs w:val="32"/>
        </w:rPr>
      </w:pPr>
    </w:p>
    <w:p w14:paraId="761200A3" w14:textId="77777777" w:rsidR="0016239B" w:rsidRDefault="0016239B" w:rsidP="00A6224C">
      <w:pPr>
        <w:ind w:left="-709" w:right="-705" w:firstLine="284"/>
        <w:jc w:val="both"/>
        <w:rPr>
          <w:rFonts w:asciiTheme="majorBidi" w:hAnsiTheme="majorBidi" w:cstheme="majorBidi"/>
          <w:sz w:val="32"/>
          <w:szCs w:val="32"/>
        </w:rPr>
      </w:pPr>
    </w:p>
    <w:p w14:paraId="03059F35" w14:textId="77777777" w:rsidR="0016239B" w:rsidRPr="0016239B" w:rsidRDefault="0016239B" w:rsidP="0016239B">
      <w:pPr>
        <w:ind w:left="-709" w:right="-705" w:firstLine="284"/>
        <w:jc w:val="center"/>
        <w:rPr>
          <w:rFonts w:ascii="Berlin Sans FB Demi" w:hAnsi="Berlin Sans FB Demi" w:cstheme="majorBidi"/>
          <w:sz w:val="32"/>
          <w:szCs w:val="32"/>
        </w:rPr>
      </w:pPr>
      <w:r w:rsidRPr="0016239B">
        <w:rPr>
          <w:rFonts w:ascii="Berlin Sans FB Demi" w:hAnsi="Berlin Sans FB Demi" w:cstheme="majorBidi"/>
          <w:sz w:val="32"/>
          <w:szCs w:val="32"/>
        </w:rPr>
        <w:t>"It is during our darkest moments that we must focus to see the light."</w:t>
      </w:r>
    </w:p>
    <w:p w14:paraId="7360B9E4" w14:textId="09B9645D" w:rsidR="009A4088" w:rsidRPr="004E09C4" w:rsidRDefault="0016239B" w:rsidP="0016239B">
      <w:pPr>
        <w:ind w:left="-709" w:right="-705" w:firstLine="284"/>
        <w:jc w:val="center"/>
        <w:rPr>
          <w:rFonts w:asciiTheme="majorBidi" w:hAnsiTheme="majorBidi" w:cstheme="majorBidi"/>
          <w:sz w:val="32"/>
          <w:szCs w:val="32"/>
        </w:rPr>
      </w:pPr>
      <w:r w:rsidRPr="0016239B">
        <w:rPr>
          <w:rFonts w:ascii="Berlin Sans FB Demi" w:hAnsi="Berlin Sans FB Demi" w:cstheme="majorBidi"/>
          <w:sz w:val="32"/>
          <w:szCs w:val="32"/>
        </w:rPr>
        <w:t>-Aristotle</w:t>
      </w:r>
    </w:p>
    <w:sectPr w:rsidR="009A4088" w:rsidRPr="004E09C4" w:rsidSect="00C85128">
      <w:footerReference w:type="default" r:id="rId7"/>
      <w:pgSz w:w="12240" w:h="15840"/>
      <w:pgMar w:top="426"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9237" w14:textId="77777777" w:rsidR="00206BAC" w:rsidRDefault="00206BAC" w:rsidP="009E23DA">
      <w:pPr>
        <w:spacing w:after="0" w:line="240" w:lineRule="auto"/>
      </w:pPr>
      <w:r>
        <w:separator/>
      </w:r>
    </w:p>
  </w:endnote>
  <w:endnote w:type="continuationSeparator" w:id="0">
    <w:p w14:paraId="7B98D0FE" w14:textId="77777777" w:rsidR="00206BAC" w:rsidRDefault="00206BAC" w:rsidP="009E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704"/>
      <w:docPartObj>
        <w:docPartGallery w:val="Page Numbers (Bottom of Page)"/>
        <w:docPartUnique/>
      </w:docPartObj>
    </w:sdtPr>
    <w:sdtEndPr/>
    <w:sdtContent>
      <w:p w14:paraId="457C8001" w14:textId="77777777" w:rsidR="009E23DA" w:rsidRDefault="000F2041">
        <w:pPr>
          <w:pStyle w:val="Footer"/>
          <w:jc w:val="center"/>
        </w:pPr>
        <w:r>
          <w:fldChar w:fldCharType="begin"/>
        </w:r>
        <w:r>
          <w:instrText xml:space="preserve"> PAGE   \* MERGEFORMAT </w:instrText>
        </w:r>
        <w:r>
          <w:fldChar w:fldCharType="separate"/>
        </w:r>
        <w:r w:rsidR="00F60DCD" w:rsidRPr="00F60DCD">
          <w:rPr>
            <w:rFonts w:cs="Calibri"/>
            <w:noProof/>
            <w:lang w:val="ar-SA"/>
          </w:rPr>
          <w:t>10</w:t>
        </w:r>
        <w:r>
          <w:rPr>
            <w:rFonts w:cs="Calibri"/>
            <w:noProof/>
            <w:lang w:val="ar-SA"/>
          </w:rPr>
          <w:fldChar w:fldCharType="end"/>
        </w:r>
      </w:p>
    </w:sdtContent>
  </w:sdt>
  <w:p w14:paraId="54477855" w14:textId="77777777" w:rsidR="009E23DA" w:rsidRDefault="009E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80F4" w14:textId="77777777" w:rsidR="00206BAC" w:rsidRDefault="00206BAC" w:rsidP="009E23DA">
      <w:pPr>
        <w:spacing w:after="0" w:line="240" w:lineRule="auto"/>
      </w:pPr>
      <w:r>
        <w:separator/>
      </w:r>
    </w:p>
  </w:footnote>
  <w:footnote w:type="continuationSeparator" w:id="0">
    <w:p w14:paraId="01385307" w14:textId="77777777" w:rsidR="00206BAC" w:rsidRDefault="00206BAC" w:rsidP="009E2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2FC2"/>
    <w:multiLevelType w:val="hybridMultilevel"/>
    <w:tmpl w:val="AE487D3E"/>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 w15:restartNumberingAfterBreak="0">
    <w:nsid w:val="11AA52FA"/>
    <w:multiLevelType w:val="hybridMultilevel"/>
    <w:tmpl w:val="361C3F14"/>
    <w:lvl w:ilvl="0" w:tplc="76C851F4">
      <w:start w:val="1"/>
      <w:numFmt w:val="decimal"/>
      <w:lvlText w:val="%1."/>
      <w:lvlJc w:val="left"/>
      <w:pPr>
        <w:tabs>
          <w:tab w:val="num" w:pos="720"/>
        </w:tabs>
        <w:ind w:left="720" w:hanging="360"/>
      </w:pPr>
    </w:lvl>
    <w:lvl w:ilvl="1" w:tplc="65D2BD0A" w:tentative="1">
      <w:start w:val="1"/>
      <w:numFmt w:val="decimal"/>
      <w:lvlText w:val="%2."/>
      <w:lvlJc w:val="left"/>
      <w:pPr>
        <w:tabs>
          <w:tab w:val="num" w:pos="1440"/>
        </w:tabs>
        <w:ind w:left="1440" w:hanging="360"/>
      </w:pPr>
    </w:lvl>
    <w:lvl w:ilvl="2" w:tplc="A1F2549C" w:tentative="1">
      <w:start w:val="1"/>
      <w:numFmt w:val="decimal"/>
      <w:lvlText w:val="%3."/>
      <w:lvlJc w:val="left"/>
      <w:pPr>
        <w:tabs>
          <w:tab w:val="num" w:pos="2160"/>
        </w:tabs>
        <w:ind w:left="2160" w:hanging="360"/>
      </w:pPr>
    </w:lvl>
    <w:lvl w:ilvl="3" w:tplc="42A4F6DA" w:tentative="1">
      <w:start w:val="1"/>
      <w:numFmt w:val="decimal"/>
      <w:lvlText w:val="%4."/>
      <w:lvlJc w:val="left"/>
      <w:pPr>
        <w:tabs>
          <w:tab w:val="num" w:pos="2880"/>
        </w:tabs>
        <w:ind w:left="2880" w:hanging="360"/>
      </w:pPr>
    </w:lvl>
    <w:lvl w:ilvl="4" w:tplc="9BEE99C8" w:tentative="1">
      <w:start w:val="1"/>
      <w:numFmt w:val="decimal"/>
      <w:lvlText w:val="%5."/>
      <w:lvlJc w:val="left"/>
      <w:pPr>
        <w:tabs>
          <w:tab w:val="num" w:pos="3600"/>
        </w:tabs>
        <w:ind w:left="3600" w:hanging="360"/>
      </w:pPr>
    </w:lvl>
    <w:lvl w:ilvl="5" w:tplc="2B1C2662" w:tentative="1">
      <w:start w:val="1"/>
      <w:numFmt w:val="decimal"/>
      <w:lvlText w:val="%6."/>
      <w:lvlJc w:val="left"/>
      <w:pPr>
        <w:tabs>
          <w:tab w:val="num" w:pos="4320"/>
        </w:tabs>
        <w:ind w:left="4320" w:hanging="360"/>
      </w:pPr>
    </w:lvl>
    <w:lvl w:ilvl="6" w:tplc="07C8D164" w:tentative="1">
      <w:start w:val="1"/>
      <w:numFmt w:val="decimal"/>
      <w:lvlText w:val="%7."/>
      <w:lvlJc w:val="left"/>
      <w:pPr>
        <w:tabs>
          <w:tab w:val="num" w:pos="5040"/>
        </w:tabs>
        <w:ind w:left="5040" w:hanging="360"/>
      </w:pPr>
    </w:lvl>
    <w:lvl w:ilvl="7" w:tplc="6F906452" w:tentative="1">
      <w:start w:val="1"/>
      <w:numFmt w:val="decimal"/>
      <w:lvlText w:val="%8."/>
      <w:lvlJc w:val="left"/>
      <w:pPr>
        <w:tabs>
          <w:tab w:val="num" w:pos="5760"/>
        </w:tabs>
        <w:ind w:left="5760" w:hanging="360"/>
      </w:pPr>
    </w:lvl>
    <w:lvl w:ilvl="8" w:tplc="3C2024C2" w:tentative="1">
      <w:start w:val="1"/>
      <w:numFmt w:val="decimal"/>
      <w:lvlText w:val="%9."/>
      <w:lvlJc w:val="left"/>
      <w:pPr>
        <w:tabs>
          <w:tab w:val="num" w:pos="6480"/>
        </w:tabs>
        <w:ind w:left="6480" w:hanging="360"/>
      </w:pPr>
    </w:lvl>
  </w:abstractNum>
  <w:abstractNum w:abstractNumId="2" w15:restartNumberingAfterBreak="0">
    <w:nsid w:val="15995068"/>
    <w:multiLevelType w:val="hybridMultilevel"/>
    <w:tmpl w:val="8EF6F48A"/>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 w15:restartNumberingAfterBreak="0">
    <w:nsid w:val="1E834BD6"/>
    <w:multiLevelType w:val="hybridMultilevel"/>
    <w:tmpl w:val="392498CC"/>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4" w15:restartNumberingAfterBreak="0">
    <w:nsid w:val="2E1343E9"/>
    <w:multiLevelType w:val="hybridMultilevel"/>
    <w:tmpl w:val="1AAED31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33AD42C6"/>
    <w:multiLevelType w:val="hybridMultilevel"/>
    <w:tmpl w:val="E8F6D9D0"/>
    <w:lvl w:ilvl="0" w:tplc="AAA8743E">
      <w:start w:val="1"/>
      <w:numFmt w:val="decimal"/>
      <w:lvlText w:val="%1-"/>
      <w:lvlJc w:val="left"/>
      <w:pPr>
        <w:ind w:left="-177" w:hanging="39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3C6522C7"/>
    <w:multiLevelType w:val="hybridMultilevel"/>
    <w:tmpl w:val="D17281F0"/>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7" w15:restartNumberingAfterBreak="0">
    <w:nsid w:val="45895CE8"/>
    <w:multiLevelType w:val="hybridMultilevel"/>
    <w:tmpl w:val="DEE2049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486F19B2"/>
    <w:multiLevelType w:val="hybridMultilevel"/>
    <w:tmpl w:val="14C8A6BC"/>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9" w15:restartNumberingAfterBreak="0">
    <w:nsid w:val="4E543036"/>
    <w:multiLevelType w:val="hybridMultilevel"/>
    <w:tmpl w:val="7E14468E"/>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0" w15:restartNumberingAfterBreak="0">
    <w:nsid w:val="560F3A3D"/>
    <w:multiLevelType w:val="hybridMultilevel"/>
    <w:tmpl w:val="DFD8E8D8"/>
    <w:lvl w:ilvl="0" w:tplc="6D20DA8C">
      <w:start w:val="1"/>
      <w:numFmt w:val="decimal"/>
      <w:lvlText w:val="(%1)"/>
      <w:lvlJc w:val="left"/>
      <w:pPr>
        <w:tabs>
          <w:tab w:val="num" w:pos="720"/>
        </w:tabs>
        <w:ind w:left="720" w:hanging="360"/>
      </w:pPr>
    </w:lvl>
    <w:lvl w:ilvl="1" w:tplc="DCA2C68A" w:tentative="1">
      <w:start w:val="1"/>
      <w:numFmt w:val="decimal"/>
      <w:lvlText w:val="(%2)"/>
      <w:lvlJc w:val="left"/>
      <w:pPr>
        <w:tabs>
          <w:tab w:val="num" w:pos="1440"/>
        </w:tabs>
        <w:ind w:left="1440" w:hanging="360"/>
      </w:pPr>
    </w:lvl>
    <w:lvl w:ilvl="2" w:tplc="43EE795A" w:tentative="1">
      <w:start w:val="1"/>
      <w:numFmt w:val="decimal"/>
      <w:lvlText w:val="(%3)"/>
      <w:lvlJc w:val="left"/>
      <w:pPr>
        <w:tabs>
          <w:tab w:val="num" w:pos="2160"/>
        </w:tabs>
        <w:ind w:left="2160" w:hanging="360"/>
      </w:pPr>
    </w:lvl>
    <w:lvl w:ilvl="3" w:tplc="DF428738" w:tentative="1">
      <w:start w:val="1"/>
      <w:numFmt w:val="decimal"/>
      <w:lvlText w:val="(%4)"/>
      <w:lvlJc w:val="left"/>
      <w:pPr>
        <w:tabs>
          <w:tab w:val="num" w:pos="2880"/>
        </w:tabs>
        <w:ind w:left="2880" w:hanging="360"/>
      </w:pPr>
    </w:lvl>
    <w:lvl w:ilvl="4" w:tplc="FC76F028" w:tentative="1">
      <w:start w:val="1"/>
      <w:numFmt w:val="decimal"/>
      <w:lvlText w:val="(%5)"/>
      <w:lvlJc w:val="left"/>
      <w:pPr>
        <w:tabs>
          <w:tab w:val="num" w:pos="3600"/>
        </w:tabs>
        <w:ind w:left="3600" w:hanging="360"/>
      </w:pPr>
    </w:lvl>
    <w:lvl w:ilvl="5" w:tplc="BA3AF49C" w:tentative="1">
      <w:start w:val="1"/>
      <w:numFmt w:val="decimal"/>
      <w:lvlText w:val="(%6)"/>
      <w:lvlJc w:val="left"/>
      <w:pPr>
        <w:tabs>
          <w:tab w:val="num" w:pos="4320"/>
        </w:tabs>
        <w:ind w:left="4320" w:hanging="360"/>
      </w:pPr>
    </w:lvl>
    <w:lvl w:ilvl="6" w:tplc="C748A94E" w:tentative="1">
      <w:start w:val="1"/>
      <w:numFmt w:val="decimal"/>
      <w:lvlText w:val="(%7)"/>
      <w:lvlJc w:val="left"/>
      <w:pPr>
        <w:tabs>
          <w:tab w:val="num" w:pos="5040"/>
        </w:tabs>
        <w:ind w:left="5040" w:hanging="360"/>
      </w:pPr>
    </w:lvl>
    <w:lvl w:ilvl="7" w:tplc="C5F270B0" w:tentative="1">
      <w:start w:val="1"/>
      <w:numFmt w:val="decimal"/>
      <w:lvlText w:val="(%8)"/>
      <w:lvlJc w:val="left"/>
      <w:pPr>
        <w:tabs>
          <w:tab w:val="num" w:pos="5760"/>
        </w:tabs>
        <w:ind w:left="5760" w:hanging="360"/>
      </w:pPr>
    </w:lvl>
    <w:lvl w:ilvl="8" w:tplc="757474C6" w:tentative="1">
      <w:start w:val="1"/>
      <w:numFmt w:val="decimal"/>
      <w:lvlText w:val="(%9)"/>
      <w:lvlJc w:val="left"/>
      <w:pPr>
        <w:tabs>
          <w:tab w:val="num" w:pos="6480"/>
        </w:tabs>
        <w:ind w:left="6480" w:hanging="360"/>
      </w:pPr>
    </w:lvl>
  </w:abstractNum>
  <w:abstractNum w:abstractNumId="11" w15:restartNumberingAfterBreak="0">
    <w:nsid w:val="71D1231E"/>
    <w:multiLevelType w:val="hybridMultilevel"/>
    <w:tmpl w:val="C6EAA610"/>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num w:numId="1">
    <w:abstractNumId w:val="1"/>
  </w:num>
  <w:num w:numId="2">
    <w:abstractNumId w:val="10"/>
  </w:num>
  <w:num w:numId="3">
    <w:abstractNumId w:val="0"/>
  </w:num>
  <w:num w:numId="4">
    <w:abstractNumId w:val="8"/>
  </w:num>
  <w:num w:numId="5">
    <w:abstractNumId w:val="9"/>
  </w:num>
  <w:num w:numId="6">
    <w:abstractNumId w:val="6"/>
  </w:num>
  <w:num w:numId="7">
    <w:abstractNumId w:val="3"/>
  </w:num>
  <w:num w:numId="8">
    <w:abstractNumId w:val="11"/>
  </w:num>
  <w:num w:numId="9">
    <w:abstractNumId w:val="2"/>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0FD"/>
    <w:rsid w:val="0002383C"/>
    <w:rsid w:val="0003633F"/>
    <w:rsid w:val="000E3B90"/>
    <w:rsid w:val="000F2041"/>
    <w:rsid w:val="0016239B"/>
    <w:rsid w:val="00176E9F"/>
    <w:rsid w:val="00206BAC"/>
    <w:rsid w:val="00225173"/>
    <w:rsid w:val="003664E3"/>
    <w:rsid w:val="0038523B"/>
    <w:rsid w:val="003F38F8"/>
    <w:rsid w:val="00431AED"/>
    <w:rsid w:val="00467C04"/>
    <w:rsid w:val="00472674"/>
    <w:rsid w:val="004A1839"/>
    <w:rsid w:val="004C25A1"/>
    <w:rsid w:val="004E09C4"/>
    <w:rsid w:val="00507E25"/>
    <w:rsid w:val="00513E5B"/>
    <w:rsid w:val="00517174"/>
    <w:rsid w:val="005E0550"/>
    <w:rsid w:val="00636817"/>
    <w:rsid w:val="00682552"/>
    <w:rsid w:val="006A3FE3"/>
    <w:rsid w:val="006B49E2"/>
    <w:rsid w:val="006E303D"/>
    <w:rsid w:val="006F0D75"/>
    <w:rsid w:val="006F437E"/>
    <w:rsid w:val="00700DD3"/>
    <w:rsid w:val="007564C5"/>
    <w:rsid w:val="007D2FC3"/>
    <w:rsid w:val="00823D68"/>
    <w:rsid w:val="00825276"/>
    <w:rsid w:val="00841A8B"/>
    <w:rsid w:val="0088027A"/>
    <w:rsid w:val="00887C1B"/>
    <w:rsid w:val="00893E1E"/>
    <w:rsid w:val="00924584"/>
    <w:rsid w:val="00930BDD"/>
    <w:rsid w:val="009604F4"/>
    <w:rsid w:val="009A0BA0"/>
    <w:rsid w:val="009A19BA"/>
    <w:rsid w:val="009A4088"/>
    <w:rsid w:val="009A491E"/>
    <w:rsid w:val="009B50FA"/>
    <w:rsid w:val="009E23DA"/>
    <w:rsid w:val="00A07587"/>
    <w:rsid w:val="00A35FF8"/>
    <w:rsid w:val="00A43CE7"/>
    <w:rsid w:val="00A6224C"/>
    <w:rsid w:val="00A814D9"/>
    <w:rsid w:val="00A93BD0"/>
    <w:rsid w:val="00AB1AA6"/>
    <w:rsid w:val="00B27F5C"/>
    <w:rsid w:val="00B450FD"/>
    <w:rsid w:val="00B87F99"/>
    <w:rsid w:val="00BB0015"/>
    <w:rsid w:val="00BB6402"/>
    <w:rsid w:val="00C036F9"/>
    <w:rsid w:val="00C85128"/>
    <w:rsid w:val="00CC03BD"/>
    <w:rsid w:val="00CF5C62"/>
    <w:rsid w:val="00D0527D"/>
    <w:rsid w:val="00D5514F"/>
    <w:rsid w:val="00D55DDA"/>
    <w:rsid w:val="00E00BC4"/>
    <w:rsid w:val="00E22A8D"/>
    <w:rsid w:val="00F27B5F"/>
    <w:rsid w:val="00F55551"/>
    <w:rsid w:val="00F60DCD"/>
    <w:rsid w:val="00FB0B41"/>
    <w:rsid w:val="00FD5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B09D"/>
  <w15:docId w15:val="{46CA07A6-E3A0-47FC-B6D6-CA8FC38C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0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D0"/>
    <w:rPr>
      <w:rFonts w:ascii="Tahoma" w:hAnsi="Tahoma" w:cs="Tahoma"/>
      <w:sz w:val="16"/>
      <w:szCs w:val="16"/>
    </w:rPr>
  </w:style>
  <w:style w:type="paragraph" w:styleId="ListParagraph">
    <w:name w:val="List Paragraph"/>
    <w:basedOn w:val="Normal"/>
    <w:uiPriority w:val="34"/>
    <w:qFormat/>
    <w:rsid w:val="00E22A8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7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E23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3DA"/>
  </w:style>
  <w:style w:type="paragraph" w:styleId="Footer">
    <w:name w:val="footer"/>
    <w:basedOn w:val="Normal"/>
    <w:link w:val="FooterChar"/>
    <w:uiPriority w:val="99"/>
    <w:unhideWhenUsed/>
    <w:rsid w:val="009E2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8616">
      <w:bodyDiv w:val="1"/>
      <w:marLeft w:val="0"/>
      <w:marRight w:val="0"/>
      <w:marTop w:val="0"/>
      <w:marBottom w:val="0"/>
      <w:divBdr>
        <w:top w:val="none" w:sz="0" w:space="0" w:color="auto"/>
        <w:left w:val="none" w:sz="0" w:space="0" w:color="auto"/>
        <w:bottom w:val="none" w:sz="0" w:space="0" w:color="auto"/>
        <w:right w:val="none" w:sz="0" w:space="0" w:color="auto"/>
      </w:divBdr>
    </w:div>
    <w:div w:id="385757708">
      <w:bodyDiv w:val="1"/>
      <w:marLeft w:val="0"/>
      <w:marRight w:val="0"/>
      <w:marTop w:val="0"/>
      <w:marBottom w:val="0"/>
      <w:divBdr>
        <w:top w:val="none" w:sz="0" w:space="0" w:color="auto"/>
        <w:left w:val="none" w:sz="0" w:space="0" w:color="auto"/>
        <w:bottom w:val="none" w:sz="0" w:space="0" w:color="auto"/>
        <w:right w:val="none" w:sz="0" w:space="0" w:color="auto"/>
      </w:divBdr>
    </w:div>
    <w:div w:id="389353845">
      <w:bodyDiv w:val="1"/>
      <w:marLeft w:val="0"/>
      <w:marRight w:val="0"/>
      <w:marTop w:val="0"/>
      <w:marBottom w:val="0"/>
      <w:divBdr>
        <w:top w:val="none" w:sz="0" w:space="0" w:color="auto"/>
        <w:left w:val="none" w:sz="0" w:space="0" w:color="auto"/>
        <w:bottom w:val="none" w:sz="0" w:space="0" w:color="auto"/>
        <w:right w:val="none" w:sz="0" w:space="0" w:color="auto"/>
      </w:divBdr>
    </w:div>
    <w:div w:id="555898222">
      <w:bodyDiv w:val="1"/>
      <w:marLeft w:val="0"/>
      <w:marRight w:val="0"/>
      <w:marTop w:val="0"/>
      <w:marBottom w:val="0"/>
      <w:divBdr>
        <w:top w:val="none" w:sz="0" w:space="0" w:color="auto"/>
        <w:left w:val="none" w:sz="0" w:space="0" w:color="auto"/>
        <w:bottom w:val="none" w:sz="0" w:space="0" w:color="auto"/>
        <w:right w:val="none" w:sz="0" w:space="0" w:color="auto"/>
      </w:divBdr>
    </w:div>
    <w:div w:id="641423565">
      <w:bodyDiv w:val="1"/>
      <w:marLeft w:val="0"/>
      <w:marRight w:val="0"/>
      <w:marTop w:val="0"/>
      <w:marBottom w:val="0"/>
      <w:divBdr>
        <w:top w:val="none" w:sz="0" w:space="0" w:color="auto"/>
        <w:left w:val="none" w:sz="0" w:space="0" w:color="auto"/>
        <w:bottom w:val="none" w:sz="0" w:space="0" w:color="auto"/>
        <w:right w:val="none" w:sz="0" w:space="0" w:color="auto"/>
      </w:divBdr>
    </w:div>
    <w:div w:id="948584325">
      <w:bodyDiv w:val="1"/>
      <w:marLeft w:val="0"/>
      <w:marRight w:val="0"/>
      <w:marTop w:val="0"/>
      <w:marBottom w:val="0"/>
      <w:divBdr>
        <w:top w:val="none" w:sz="0" w:space="0" w:color="auto"/>
        <w:left w:val="none" w:sz="0" w:space="0" w:color="auto"/>
        <w:bottom w:val="none" w:sz="0" w:space="0" w:color="auto"/>
        <w:right w:val="none" w:sz="0" w:space="0" w:color="auto"/>
      </w:divBdr>
    </w:div>
    <w:div w:id="1081829185">
      <w:bodyDiv w:val="1"/>
      <w:marLeft w:val="0"/>
      <w:marRight w:val="0"/>
      <w:marTop w:val="0"/>
      <w:marBottom w:val="0"/>
      <w:divBdr>
        <w:top w:val="none" w:sz="0" w:space="0" w:color="auto"/>
        <w:left w:val="none" w:sz="0" w:space="0" w:color="auto"/>
        <w:bottom w:val="none" w:sz="0" w:space="0" w:color="auto"/>
        <w:right w:val="none" w:sz="0" w:space="0" w:color="auto"/>
      </w:divBdr>
    </w:div>
    <w:div w:id="1121998461">
      <w:bodyDiv w:val="1"/>
      <w:marLeft w:val="0"/>
      <w:marRight w:val="0"/>
      <w:marTop w:val="0"/>
      <w:marBottom w:val="0"/>
      <w:divBdr>
        <w:top w:val="none" w:sz="0" w:space="0" w:color="auto"/>
        <w:left w:val="none" w:sz="0" w:space="0" w:color="auto"/>
        <w:bottom w:val="none" w:sz="0" w:space="0" w:color="auto"/>
        <w:right w:val="none" w:sz="0" w:space="0" w:color="auto"/>
      </w:divBdr>
    </w:div>
    <w:div w:id="1264068061">
      <w:bodyDiv w:val="1"/>
      <w:marLeft w:val="0"/>
      <w:marRight w:val="0"/>
      <w:marTop w:val="0"/>
      <w:marBottom w:val="0"/>
      <w:divBdr>
        <w:top w:val="none" w:sz="0" w:space="0" w:color="auto"/>
        <w:left w:val="none" w:sz="0" w:space="0" w:color="auto"/>
        <w:bottom w:val="none" w:sz="0" w:space="0" w:color="auto"/>
        <w:right w:val="none" w:sz="0" w:space="0" w:color="auto"/>
      </w:divBdr>
      <w:divsChild>
        <w:div w:id="1452626455">
          <w:marLeft w:val="720"/>
          <w:marRight w:val="0"/>
          <w:marTop w:val="134"/>
          <w:marBottom w:val="0"/>
          <w:divBdr>
            <w:top w:val="none" w:sz="0" w:space="0" w:color="auto"/>
            <w:left w:val="none" w:sz="0" w:space="0" w:color="auto"/>
            <w:bottom w:val="none" w:sz="0" w:space="0" w:color="auto"/>
            <w:right w:val="none" w:sz="0" w:space="0" w:color="auto"/>
          </w:divBdr>
        </w:div>
      </w:divsChild>
    </w:div>
    <w:div w:id="1583174138">
      <w:bodyDiv w:val="1"/>
      <w:marLeft w:val="0"/>
      <w:marRight w:val="0"/>
      <w:marTop w:val="0"/>
      <w:marBottom w:val="0"/>
      <w:divBdr>
        <w:top w:val="none" w:sz="0" w:space="0" w:color="auto"/>
        <w:left w:val="none" w:sz="0" w:space="0" w:color="auto"/>
        <w:bottom w:val="none" w:sz="0" w:space="0" w:color="auto"/>
        <w:right w:val="none" w:sz="0" w:space="0" w:color="auto"/>
      </w:divBdr>
    </w:div>
    <w:div w:id="1626614160">
      <w:bodyDiv w:val="1"/>
      <w:marLeft w:val="0"/>
      <w:marRight w:val="0"/>
      <w:marTop w:val="0"/>
      <w:marBottom w:val="0"/>
      <w:divBdr>
        <w:top w:val="none" w:sz="0" w:space="0" w:color="auto"/>
        <w:left w:val="none" w:sz="0" w:space="0" w:color="auto"/>
        <w:bottom w:val="none" w:sz="0" w:space="0" w:color="auto"/>
        <w:right w:val="none" w:sz="0" w:space="0" w:color="auto"/>
      </w:divBdr>
    </w:div>
    <w:div w:id="1814368508">
      <w:bodyDiv w:val="1"/>
      <w:marLeft w:val="0"/>
      <w:marRight w:val="0"/>
      <w:marTop w:val="0"/>
      <w:marBottom w:val="0"/>
      <w:divBdr>
        <w:top w:val="none" w:sz="0" w:space="0" w:color="auto"/>
        <w:left w:val="none" w:sz="0" w:space="0" w:color="auto"/>
        <w:bottom w:val="none" w:sz="0" w:space="0" w:color="auto"/>
        <w:right w:val="none" w:sz="0" w:space="0" w:color="auto"/>
      </w:divBdr>
    </w:div>
    <w:div w:id="1821843162">
      <w:bodyDiv w:val="1"/>
      <w:marLeft w:val="0"/>
      <w:marRight w:val="0"/>
      <w:marTop w:val="0"/>
      <w:marBottom w:val="0"/>
      <w:divBdr>
        <w:top w:val="none" w:sz="0" w:space="0" w:color="auto"/>
        <w:left w:val="none" w:sz="0" w:space="0" w:color="auto"/>
        <w:bottom w:val="none" w:sz="0" w:space="0" w:color="auto"/>
        <w:right w:val="none" w:sz="0" w:space="0" w:color="auto"/>
      </w:divBdr>
    </w:div>
    <w:div w:id="1839420151">
      <w:bodyDiv w:val="1"/>
      <w:marLeft w:val="0"/>
      <w:marRight w:val="0"/>
      <w:marTop w:val="0"/>
      <w:marBottom w:val="0"/>
      <w:divBdr>
        <w:top w:val="none" w:sz="0" w:space="0" w:color="auto"/>
        <w:left w:val="none" w:sz="0" w:space="0" w:color="auto"/>
        <w:bottom w:val="none" w:sz="0" w:space="0" w:color="auto"/>
        <w:right w:val="none" w:sz="0" w:space="0" w:color="auto"/>
      </w:divBdr>
    </w:div>
    <w:div w:id="1894777908">
      <w:bodyDiv w:val="1"/>
      <w:marLeft w:val="0"/>
      <w:marRight w:val="0"/>
      <w:marTop w:val="0"/>
      <w:marBottom w:val="0"/>
      <w:divBdr>
        <w:top w:val="none" w:sz="0" w:space="0" w:color="auto"/>
        <w:left w:val="none" w:sz="0" w:space="0" w:color="auto"/>
        <w:bottom w:val="none" w:sz="0" w:space="0" w:color="auto"/>
        <w:right w:val="none" w:sz="0" w:space="0" w:color="auto"/>
      </w:divBdr>
    </w:div>
    <w:div w:id="2012754581">
      <w:bodyDiv w:val="1"/>
      <w:marLeft w:val="0"/>
      <w:marRight w:val="0"/>
      <w:marTop w:val="0"/>
      <w:marBottom w:val="0"/>
      <w:divBdr>
        <w:top w:val="none" w:sz="0" w:space="0" w:color="auto"/>
        <w:left w:val="none" w:sz="0" w:space="0" w:color="auto"/>
        <w:bottom w:val="none" w:sz="0" w:space="0" w:color="auto"/>
        <w:right w:val="none" w:sz="0" w:space="0" w:color="auto"/>
      </w:divBdr>
    </w:div>
    <w:div w:id="2034184277">
      <w:bodyDiv w:val="1"/>
      <w:marLeft w:val="0"/>
      <w:marRight w:val="0"/>
      <w:marTop w:val="0"/>
      <w:marBottom w:val="0"/>
      <w:divBdr>
        <w:top w:val="none" w:sz="0" w:space="0" w:color="auto"/>
        <w:left w:val="none" w:sz="0" w:space="0" w:color="auto"/>
        <w:bottom w:val="none" w:sz="0" w:space="0" w:color="auto"/>
        <w:right w:val="none" w:sz="0" w:space="0" w:color="auto"/>
      </w:divBdr>
    </w:div>
    <w:div w:id="2121559205">
      <w:bodyDiv w:val="1"/>
      <w:marLeft w:val="0"/>
      <w:marRight w:val="0"/>
      <w:marTop w:val="0"/>
      <w:marBottom w:val="0"/>
      <w:divBdr>
        <w:top w:val="none" w:sz="0" w:space="0" w:color="auto"/>
        <w:left w:val="none" w:sz="0" w:space="0" w:color="auto"/>
        <w:bottom w:val="none" w:sz="0" w:space="0" w:color="auto"/>
        <w:right w:val="none" w:sz="0" w:space="0" w:color="auto"/>
      </w:divBdr>
      <w:divsChild>
        <w:div w:id="606084031">
          <w:marLeft w:val="965"/>
          <w:marRight w:val="0"/>
          <w:marTop w:val="154"/>
          <w:marBottom w:val="0"/>
          <w:divBdr>
            <w:top w:val="none" w:sz="0" w:space="0" w:color="auto"/>
            <w:left w:val="none" w:sz="0" w:space="0" w:color="auto"/>
            <w:bottom w:val="none" w:sz="0" w:space="0" w:color="auto"/>
            <w:right w:val="none" w:sz="0" w:space="0" w:color="auto"/>
          </w:divBdr>
        </w:div>
      </w:divsChild>
    </w:div>
    <w:div w:id="21452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6</Pages>
  <Words>1230</Words>
  <Characters>7012</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InteL</cp:lastModifiedBy>
  <cp:revision>51</cp:revision>
  <dcterms:created xsi:type="dcterms:W3CDTF">2018-03-03T11:15:00Z</dcterms:created>
  <dcterms:modified xsi:type="dcterms:W3CDTF">2021-05-26T20:04:00Z</dcterms:modified>
</cp:coreProperties>
</file>